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AA23" w14:textId="78EEB7D8" w:rsidR="00123B64" w:rsidRPr="001C2668" w:rsidRDefault="00123B64" w:rsidP="00123B64">
      <w:pPr>
        <w:rPr>
          <w:rFonts w:ascii="Cambria" w:hAnsi="Cambria"/>
          <w:i/>
          <w:iCs/>
          <w:color w:val="FF0000"/>
          <w:sz w:val="20"/>
          <w:szCs w:val="20"/>
        </w:rPr>
      </w:pPr>
    </w:p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5076A553" w14:textId="77777777" w:rsidR="009F10DB" w:rsidRDefault="009F10DB" w:rsidP="00FB5485">
      <w:pPr>
        <w:jc w:val="center"/>
        <w:rPr>
          <w:rFonts w:ascii="Cambria" w:hAnsi="Cambria"/>
          <w:b/>
          <w:bCs/>
        </w:rPr>
      </w:pPr>
      <w:r w:rsidRPr="009F10DB">
        <w:rPr>
          <w:rFonts w:ascii="Cambria" w:hAnsi="Cambria"/>
          <w:b/>
          <w:bCs/>
        </w:rPr>
        <w:t xml:space="preserve">A TANTÁRGY ADATLAPJA </w:t>
      </w:r>
    </w:p>
    <w:p w14:paraId="147D6DE1" w14:textId="258CF34F" w:rsidR="00123B64" w:rsidRPr="001C2668" w:rsidRDefault="00C64DC1" w:rsidP="00FB5485">
      <w:pPr>
        <w:jc w:val="center"/>
        <w:rPr>
          <w:rFonts w:ascii="Cambria" w:hAnsi="Cambria"/>
        </w:rPr>
      </w:pPr>
      <w:r>
        <w:rPr>
          <w:rFonts w:ascii="Times New Roman" w:hAnsi="Times New Roman"/>
          <w:lang w:val="hu-HU"/>
        </w:rPr>
        <w:t>Bevezetés a kommunikációtudományba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br/>
      </w:r>
      <w:r w:rsidR="00DA6665">
        <w:rPr>
          <w:rFonts w:ascii="Cambria" w:hAnsi="Cambria"/>
        </w:rPr>
        <w:t>2024/2025-ös t</w:t>
      </w:r>
      <w:r w:rsidR="005334A2" w:rsidRPr="005334A2">
        <w:rPr>
          <w:rFonts w:ascii="Cambria" w:hAnsi="Cambria"/>
        </w:rPr>
        <w:t>anév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4B489D7C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 xml:space="preserve">1. </w:t>
      </w:r>
      <w:r w:rsidR="004F1246" w:rsidRPr="004F1246">
        <w:rPr>
          <w:rFonts w:ascii="Cambria" w:hAnsi="Cambria"/>
          <w:b/>
          <w:sz w:val="20"/>
          <w:szCs w:val="20"/>
        </w:rPr>
        <w:t>A képzési program adatai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7"/>
      </w:tblGrid>
      <w:tr w:rsidR="00D51618" w:rsidRPr="00D51618" w14:paraId="36E5E3E1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BABABB2" w14:textId="04322611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1.1. </w:t>
            </w:r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Felsőoktatási intézmény</w:t>
            </w:r>
          </w:p>
        </w:tc>
        <w:tc>
          <w:tcPr>
            <w:tcW w:w="7797" w:type="dxa"/>
            <w:vAlign w:val="center"/>
          </w:tcPr>
          <w:p w14:paraId="33E6C37A" w14:textId="77777777" w:rsidR="00D51618" w:rsidRPr="00D51618" w:rsidRDefault="00D51618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 din Cluj Napoca</w:t>
            </w:r>
          </w:p>
        </w:tc>
      </w:tr>
      <w:tr w:rsidR="00DA6665" w:rsidRPr="00D51618" w14:paraId="337527D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2C64104C" w14:textId="11D1EC23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1.2. </w:t>
            </w:r>
            <w:r w:rsidRPr="00EF2873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Kar</w:t>
            </w:r>
          </w:p>
        </w:tc>
        <w:tc>
          <w:tcPr>
            <w:tcW w:w="7797" w:type="dxa"/>
          </w:tcPr>
          <w:p w14:paraId="15D1FA1F" w14:textId="7AEC6AB0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Politika-, Közigazgatás- és Kommunikációtudomány</w:t>
            </w:r>
          </w:p>
        </w:tc>
      </w:tr>
      <w:tr w:rsidR="00DA6665" w:rsidRPr="00D51618" w14:paraId="7601816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0854B61" w14:textId="1BD189F3" w:rsidR="00DA6665" w:rsidRPr="00D51618" w:rsidRDefault="00DA6665" w:rsidP="00DA6665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1.3. </w:t>
            </w:r>
            <w:r w:rsidRPr="00893AF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Intézet</w:t>
            </w:r>
          </w:p>
        </w:tc>
        <w:tc>
          <w:tcPr>
            <w:tcW w:w="7797" w:type="dxa"/>
          </w:tcPr>
          <w:p w14:paraId="04A98289" w14:textId="5CEF221A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Újságírás és Digitális Média</w:t>
            </w:r>
          </w:p>
        </w:tc>
      </w:tr>
      <w:tr w:rsidR="00DA6665" w:rsidRPr="00D51618" w14:paraId="75057EA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2CD6E9C" w14:textId="7D939711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CA16E6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Szakterület</w:t>
            </w:r>
          </w:p>
        </w:tc>
        <w:tc>
          <w:tcPr>
            <w:tcW w:w="7797" w:type="dxa"/>
          </w:tcPr>
          <w:p w14:paraId="0E1920A1" w14:textId="75086AD2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Kommunikációtudomány</w:t>
            </w:r>
          </w:p>
        </w:tc>
      </w:tr>
      <w:tr w:rsidR="00DA6665" w:rsidRPr="00D51618" w14:paraId="621A245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6ED9A9E8" w14:textId="29EDF7A8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 szint</w:t>
            </w:r>
          </w:p>
        </w:tc>
        <w:tc>
          <w:tcPr>
            <w:tcW w:w="7797" w:type="dxa"/>
          </w:tcPr>
          <w:p w14:paraId="2F581B40" w14:textId="5EF6DFBE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Alapképzés</w:t>
            </w:r>
          </w:p>
        </w:tc>
      </w:tr>
      <w:tr w:rsidR="00DA6665" w:rsidRPr="00D51618" w14:paraId="656B8906" w14:textId="77777777" w:rsidTr="00DA6665">
        <w:trPr>
          <w:trHeight w:val="252"/>
        </w:trPr>
        <w:tc>
          <w:tcPr>
            <w:tcW w:w="2694" w:type="dxa"/>
            <w:vAlign w:val="center"/>
          </w:tcPr>
          <w:p w14:paraId="1FF1F3E1" w14:textId="64A706A5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1.6. </w:t>
            </w:r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 / Képesítés</w:t>
            </w:r>
          </w:p>
        </w:tc>
        <w:tc>
          <w:tcPr>
            <w:tcW w:w="7797" w:type="dxa"/>
          </w:tcPr>
          <w:p w14:paraId="2025CE64" w14:textId="3FF253C4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Újságírás</w:t>
            </w:r>
          </w:p>
        </w:tc>
      </w:tr>
      <w:tr w:rsidR="00D51618" w:rsidRPr="00D51618" w14:paraId="506B4158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9749BF2" w14:textId="1E517375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1.7. </w:t>
            </w:r>
            <w:r w:rsidR="00414998" w:rsidRPr="0041499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 forma</w:t>
            </w:r>
          </w:p>
        </w:tc>
        <w:tc>
          <w:tcPr>
            <w:tcW w:w="7797" w:type="dxa"/>
            <w:vAlign w:val="center"/>
          </w:tcPr>
          <w:p w14:paraId="398F7AEA" w14:textId="2B207561" w:rsidR="00D51618" w:rsidRPr="00D51618" w:rsidRDefault="00DA6665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Nappali tagozat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3C22B1C8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</w:t>
      </w:r>
      <w:r w:rsidR="00B96828" w:rsidRPr="00B96828">
        <w:rPr>
          <w:rFonts w:ascii="Cambria" w:hAnsi="Cambria"/>
          <w:b/>
          <w:sz w:val="20"/>
          <w:szCs w:val="20"/>
        </w:rPr>
        <w:t>A tantárgy adatai</w:t>
      </w:r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42"/>
        <w:gridCol w:w="425"/>
        <w:gridCol w:w="1417"/>
        <w:gridCol w:w="567"/>
        <w:gridCol w:w="1701"/>
        <w:gridCol w:w="567"/>
        <w:gridCol w:w="284"/>
        <w:gridCol w:w="1984"/>
        <w:gridCol w:w="1560"/>
      </w:tblGrid>
      <w:tr w:rsidR="00BF2C1C" w:rsidRPr="00972DAD" w14:paraId="3E2CE595" w14:textId="77777777" w:rsidTr="008A0887">
        <w:trPr>
          <w:trHeight w:val="284"/>
        </w:trPr>
        <w:tc>
          <w:tcPr>
            <w:tcW w:w="2010" w:type="dxa"/>
            <w:gridSpan w:val="2"/>
            <w:vAlign w:val="center"/>
          </w:tcPr>
          <w:p w14:paraId="54A19AC7" w14:textId="08BDD871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2.1. </w:t>
            </w:r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>A tantárgy neve</w:t>
            </w:r>
          </w:p>
        </w:tc>
        <w:tc>
          <w:tcPr>
            <w:tcW w:w="4961" w:type="dxa"/>
            <w:gridSpan w:val="6"/>
            <w:vAlign w:val="center"/>
          </w:tcPr>
          <w:p w14:paraId="56BB9F54" w14:textId="2B5EF19F" w:rsidR="008F5E28" w:rsidRPr="00972DAD" w:rsidRDefault="00C64DC1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Times New Roman" w:hAnsi="Times New Roman"/>
                <w:lang w:val="hu-HU"/>
              </w:rPr>
              <w:t>Bevezetés a kommunikációtudományba</w:t>
            </w:r>
          </w:p>
        </w:tc>
        <w:tc>
          <w:tcPr>
            <w:tcW w:w="1984" w:type="dxa"/>
            <w:vAlign w:val="center"/>
          </w:tcPr>
          <w:p w14:paraId="76DC4DF3" w14:textId="26BC7E00" w:rsidR="008F5E28" w:rsidRPr="00C64DC1" w:rsidRDefault="00C64DC1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hu-HU"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K</w:t>
            </w:r>
            <w:r>
              <w:rPr>
                <w:rFonts w:ascii="Cambria" w:eastAsia="Times New Roman" w:hAnsi="Cambria" w:cs="Times New Roman"/>
                <w:sz w:val="20"/>
                <w:lang w:val="hu-HU" w:eastAsia="zh-CN"/>
              </w:rPr>
              <w:t>ódja</w:t>
            </w:r>
          </w:p>
        </w:tc>
        <w:tc>
          <w:tcPr>
            <w:tcW w:w="1560" w:type="dxa"/>
            <w:vAlign w:val="center"/>
          </w:tcPr>
          <w:p w14:paraId="7CA76DD1" w14:textId="36760703" w:rsidR="008F5E28" w:rsidRPr="00C64DC1" w:rsidRDefault="00C64DC1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C64DC1">
              <w:rPr>
                <w:rFonts w:ascii="Cambria" w:eastAsia="Times New Roman" w:hAnsi="Cambria" w:cs="Times New Roman"/>
                <w:sz w:val="20"/>
                <w:lang w:eastAsia="zh-CN"/>
              </w:rPr>
              <w:t>ULM3101</w:t>
            </w:r>
          </w:p>
        </w:tc>
      </w:tr>
      <w:tr w:rsidR="008F5E28" w:rsidRPr="00972DAD" w14:paraId="7729D621" w14:textId="77777777" w:rsidTr="00B50086">
        <w:trPr>
          <w:trHeight w:val="284"/>
        </w:trPr>
        <w:tc>
          <w:tcPr>
            <w:tcW w:w="3852" w:type="dxa"/>
            <w:gridSpan w:val="4"/>
            <w:vAlign w:val="center"/>
          </w:tcPr>
          <w:p w14:paraId="5B706C4E" w14:textId="1E133917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</w:t>
            </w:r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Az előadásért felelős tanár neve</w:t>
            </w:r>
          </w:p>
        </w:tc>
        <w:tc>
          <w:tcPr>
            <w:tcW w:w="6663" w:type="dxa"/>
            <w:gridSpan w:val="6"/>
            <w:vAlign w:val="center"/>
          </w:tcPr>
          <w:p w14:paraId="02F7CAC0" w14:textId="2AD63F5D" w:rsidR="008F5E28" w:rsidRPr="00972DAD" w:rsidRDefault="00C64DC1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Dr. Vincze Hanna Orsolya</w:t>
            </w:r>
          </w:p>
        </w:tc>
      </w:tr>
      <w:tr w:rsidR="008F5E28" w:rsidRPr="00972DAD" w14:paraId="6941DE1C" w14:textId="77777777" w:rsidTr="00B50086">
        <w:trPr>
          <w:trHeight w:val="284"/>
        </w:trPr>
        <w:tc>
          <w:tcPr>
            <w:tcW w:w="3852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7F1E810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</w:t>
            </w:r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A szemináriumért felelős tanár neve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vAlign w:val="center"/>
          </w:tcPr>
          <w:p w14:paraId="341D75ED" w14:textId="302DA91D" w:rsidR="008F5E28" w:rsidRPr="00972DAD" w:rsidRDefault="003A487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Dr. Vincze Hanna Orsolya</w:t>
            </w:r>
          </w:p>
        </w:tc>
      </w:tr>
      <w:tr w:rsidR="007566DE" w:rsidRPr="00CB7D36" w14:paraId="5663EAF6" w14:textId="77777777" w:rsidTr="00050AD6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0BB2E9E6" w:rsidR="006016CF" w:rsidRPr="00C64DC1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</w:pPr>
            <w:r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 xml:space="preserve">2.4. </w:t>
            </w:r>
            <w:r w:rsidR="00F112CC"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Tanulmányi év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1BDBA856" w:rsidR="006016CF" w:rsidRPr="00C64DC1" w:rsidRDefault="00C64DC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</w:pPr>
            <w:r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1818015B" w:rsidR="006016CF" w:rsidRPr="00C64DC1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</w:pPr>
            <w:r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 xml:space="preserve">2.5. </w:t>
            </w:r>
            <w:r w:rsidR="0059285C"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Félév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54D59C65" w:rsidR="006016CF" w:rsidRPr="00C64DC1" w:rsidRDefault="00C64DC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</w:pPr>
            <w:r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FC" w14:textId="73E92ABE" w:rsidR="006016CF" w:rsidRPr="00C64DC1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</w:pPr>
            <w:r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 xml:space="preserve">2.6. </w:t>
            </w:r>
            <w:r w:rsidR="00CE0922" w:rsidRPr="00C64DC1"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  <w:t>Értékelés módja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36446428" w:rsidR="006016CF" w:rsidRPr="00C64DC1" w:rsidRDefault="00C64DC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lang w:eastAsia="zh-CN"/>
              </w:rPr>
            </w:pPr>
            <w:r w:rsidRPr="00C64DC1">
              <w:rPr>
                <w:rFonts w:ascii="Cambria" w:eastAsia="Times New Roman" w:hAnsi="Cambria" w:cs="Times New Roman"/>
                <w:color w:val="000000" w:themeColor="text1"/>
                <w:sz w:val="12"/>
                <w:lang w:eastAsia="zh-CN"/>
              </w:rPr>
              <w:t>Vizsga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4432F7C0" w:rsidR="006016CF" w:rsidRPr="00972DAD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2.7. </w:t>
            </w:r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>Tantárgy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3D257138" w:rsidR="006016CF" w:rsidRPr="00CB7D36" w:rsidRDefault="00DA666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kötelező</w:t>
            </w:r>
          </w:p>
        </w:tc>
      </w:tr>
    </w:tbl>
    <w:p w14:paraId="6E504759" w14:textId="77777777" w:rsidR="00586682" w:rsidRDefault="00586682" w:rsidP="00586682">
      <w:pPr>
        <w:suppressAutoHyphens/>
        <w:spacing w:after="0" w:line="240" w:lineRule="auto"/>
        <w:ind w:right="-766"/>
        <w:rPr>
          <w:rFonts w:ascii="Cambria" w:hAnsi="Cambria"/>
          <w:sz w:val="20"/>
          <w:szCs w:val="20"/>
        </w:rPr>
      </w:pPr>
    </w:p>
    <w:p w14:paraId="59DB4156" w14:textId="5D51F603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</w:t>
      </w:r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Teljes becsült idő </w:t>
      </w:r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(az oktatási tevékenység féléves óraszáma)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4"/>
        <w:gridCol w:w="709"/>
        <w:gridCol w:w="2126"/>
        <w:gridCol w:w="709"/>
        <w:gridCol w:w="2551"/>
        <w:gridCol w:w="709"/>
      </w:tblGrid>
      <w:tr w:rsidR="002D19B2" w:rsidRPr="00972DAD" w14:paraId="4BEA5162" w14:textId="77777777" w:rsidTr="008A088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4ED6BC3C" w14:textId="1F384E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</w:t>
            </w:r>
            <w:r w:rsidR="000453A3">
              <w:t xml:space="preserve"> </w:t>
            </w:r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Heti óraszám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001A6C" w14:textId="78C3265F" w:rsidR="002D19B2" w:rsidRPr="00972DAD" w:rsidRDefault="00C64DC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0265CB" w14:textId="5D5D90A8" w:rsidR="002D19B2" w:rsidRPr="00972DAD" w:rsidRDefault="001C0ABE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melyből: 3.2 előadás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07FE4E" w14:textId="71A41487" w:rsidR="002D19B2" w:rsidRPr="00972DAD" w:rsidRDefault="00C64DC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508169" w14:textId="77629012" w:rsidR="002D19B2" w:rsidRPr="00972DAD" w:rsidRDefault="00EB79B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3.3 szeminárium/labor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1A02B" w14:textId="3EB46F5C" w:rsidR="002D19B2" w:rsidRPr="00972DAD" w:rsidRDefault="00C64DC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</w:p>
        </w:tc>
      </w:tr>
      <w:tr w:rsidR="004E578B" w:rsidRPr="00972DAD" w14:paraId="4ED618CB" w14:textId="77777777" w:rsidTr="008A0887">
        <w:trPr>
          <w:trHeight w:val="284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7410C8B" w14:textId="30F6083D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</w:t>
            </w:r>
            <w:r w:rsidR="00C93E7A">
              <w:t xml:space="preserve"> </w:t>
            </w:r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Tantervben szereplő össz-óraszám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B1893" w14:textId="36CE8439" w:rsidR="004E578B" w:rsidRPr="00972DAD" w:rsidRDefault="00C64DC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09F7F" w14:textId="766DCE9B" w:rsidR="004E578B" w:rsidRPr="00972DAD" w:rsidRDefault="001C0ABE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melyből: 3.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</w:t>
            </w: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előadás</w:t>
            </w:r>
          </w:p>
        </w:tc>
        <w:tc>
          <w:tcPr>
            <w:tcW w:w="709" w:type="dxa"/>
            <w:vAlign w:val="center"/>
          </w:tcPr>
          <w:p w14:paraId="4FC38FB2" w14:textId="17FA3FD2" w:rsidR="004E578B" w:rsidRPr="00972DAD" w:rsidRDefault="00C64DC1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551" w:type="dxa"/>
            <w:vAlign w:val="center"/>
          </w:tcPr>
          <w:p w14:paraId="283FA802" w14:textId="4A5E3696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3.6 </w:t>
            </w:r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szeminárium/labor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D0F06" w14:textId="21593B8E" w:rsidR="004E578B" w:rsidRPr="00972DAD" w:rsidRDefault="00C64DC1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14</w:t>
            </w:r>
          </w:p>
        </w:tc>
      </w:tr>
      <w:tr w:rsidR="00117B5A" w:rsidRPr="00972DAD" w14:paraId="76F485A1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5238711" w14:textId="164D793B" w:rsidR="00117B5A" w:rsidRPr="00972DAD" w:rsidRDefault="00F66643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A tanulmányi idő elosztása: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17BBA" w14:textId="29B2CBD2" w:rsidR="00117B5A" w:rsidRPr="00972DAD" w:rsidRDefault="00FE67F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FE67F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óra</w:t>
            </w:r>
          </w:p>
        </w:tc>
      </w:tr>
      <w:tr w:rsidR="00117B5A" w:rsidRPr="00972DAD" w14:paraId="099BC67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DB76375" w14:textId="5892DDAE" w:rsidR="00117B5A" w:rsidRPr="00DA6665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3.5.1. </w:t>
            </w:r>
            <w:r w:rsidR="00AB0693">
              <w:t xml:space="preserve"> </w:t>
            </w:r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A tankönyv, a jegyzet, a szakirodalom vagy saját jegyzetek tanulmányozása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F3D9F" w14:textId="1F5A6E52" w:rsidR="00117B5A" w:rsidRPr="00972DAD" w:rsidRDefault="00C64DC1" w:rsidP="00C64DC1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35</w:t>
            </w:r>
          </w:p>
        </w:tc>
      </w:tr>
      <w:tr w:rsidR="00117B5A" w:rsidRPr="00972DAD" w14:paraId="19B7610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381A9F6C" w14:textId="4A100655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3.5.2. </w:t>
            </w:r>
            <w:r w:rsidR="00A869F5">
              <w:t xml:space="preserve"> </w:t>
            </w:r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Könyvtárban, elektronikus adatbázisokban vagy terepen való további tájékozódás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2CF4B" w14:textId="01E97A60" w:rsidR="00117B5A" w:rsidRPr="00972DAD" w:rsidRDefault="00C64DC1" w:rsidP="00C64DC1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15</w:t>
            </w:r>
          </w:p>
        </w:tc>
      </w:tr>
      <w:tr w:rsidR="00117B5A" w:rsidRPr="00972DAD" w14:paraId="004325F9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1982B" w14:textId="60E27BFC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3.5.3. </w:t>
            </w:r>
            <w:r w:rsidR="00EB0A67">
              <w:t xml:space="preserve"> </w:t>
            </w:r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Szemináriumok / laborok, házi feladatok, portofóliók, referátumok, esszék kidolgozása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7688F" w14:textId="0F50D6E5" w:rsidR="00117B5A" w:rsidRPr="00972DAD" w:rsidRDefault="00C64DC1" w:rsidP="00C64DC1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</w:tr>
      <w:tr w:rsidR="00117B5A" w:rsidRPr="00972DAD" w14:paraId="078D24F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463C7" w14:textId="7084C2CB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3.5.4. </w:t>
            </w:r>
            <w:r w:rsidR="00EB1C45">
              <w:t xml:space="preserve"> </w:t>
            </w:r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Egyéni készségfejlesztés (tutorálás)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4841D" w14:textId="2B50BBC6" w:rsidR="00117B5A" w:rsidRPr="00972DAD" w:rsidRDefault="00C64DC1" w:rsidP="00C64DC1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CCF6501" w14:textId="57E3713F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3.5.5. </w:t>
            </w:r>
            <w:r w:rsidR="00F8792C">
              <w:t xml:space="preserve"> </w:t>
            </w:r>
            <w:r w:rsidR="00F8792C" w:rsidRPr="00F8792C">
              <w:rPr>
                <w:rFonts w:ascii="Cambria" w:eastAsia="Times New Roman" w:hAnsi="Cambria" w:cs="Times New Roman"/>
                <w:sz w:val="20"/>
                <w:lang w:eastAsia="zh-CN"/>
              </w:rPr>
              <w:t>Vizsgák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2B253" w14:textId="534077B1" w:rsidR="00117B5A" w:rsidRPr="00972DAD" w:rsidRDefault="00C64DC1" w:rsidP="00C64DC1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</w:p>
        </w:tc>
      </w:tr>
      <w:tr w:rsidR="00117B5A" w:rsidRPr="00972DAD" w14:paraId="651F84A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3114711" w14:textId="69CA509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3.5.6. </w:t>
            </w:r>
            <w:r w:rsidR="00EC43EB">
              <w:t xml:space="preserve"> </w:t>
            </w:r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Más tevékenységek: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004A9" w14:textId="2763908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51A2E484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05321DBF" w14:textId="7D949CD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3.7. </w:t>
            </w:r>
            <w:r w:rsidR="00793F1F">
              <w:t xml:space="preserve"> </w:t>
            </w:r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Egyéni munka össz-óraszáma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EABD8A3" w14:textId="7BE423A7" w:rsidR="00117B5A" w:rsidRPr="00972DAD" w:rsidRDefault="00C64DC1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83</w:t>
            </w:r>
          </w:p>
        </w:tc>
      </w:tr>
      <w:tr w:rsidR="004D2236" w:rsidRPr="00972DAD" w14:paraId="03E74F97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48E731BB" w14:textId="6E703650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F52FD8">
              <w:t xml:space="preserve"> </w:t>
            </w:r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A félév össz-óraszáma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86BA008" w14:textId="6FD1B28E" w:rsidR="004D2236" w:rsidRPr="00972DAD" w:rsidRDefault="00C64DC1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125</w:t>
            </w:r>
          </w:p>
        </w:tc>
      </w:tr>
      <w:tr w:rsidR="004D2236" w:rsidRPr="00972DAD" w14:paraId="29D10D32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57B1019E" w14:textId="6EEBC153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032212">
              <w:t xml:space="preserve"> </w:t>
            </w:r>
            <w:r w:rsidR="00032212" w:rsidRPr="00032212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Kreditszám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3C97E24A" w14:textId="5ABBEE31" w:rsidR="004D2236" w:rsidRPr="00972DAD" w:rsidRDefault="00C64DC1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555A18CE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4. </w:t>
      </w:r>
      <w:r w:rsidR="00063EAD" w:rsidRPr="00063EAD">
        <w:rPr>
          <w:rFonts w:ascii="Cambria" w:eastAsia="Times New Roman" w:hAnsi="Cambria" w:cs="Times New Roman"/>
          <w:b/>
          <w:sz w:val="20"/>
          <w:lang w:eastAsia="zh-CN"/>
        </w:rPr>
        <w:t xml:space="preserve">Előfeltételek </w:t>
      </w:r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>(ha vannak)</w:t>
      </w:r>
    </w:p>
    <w:tbl>
      <w:tblPr>
        <w:tblW w:w="188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364"/>
        <w:gridCol w:w="8364"/>
      </w:tblGrid>
      <w:tr w:rsidR="00134DCA" w:rsidRPr="00972DAD" w14:paraId="79590327" w14:textId="77777777" w:rsidTr="00134DCA">
        <w:trPr>
          <w:trHeight w:val="284"/>
        </w:trPr>
        <w:tc>
          <w:tcPr>
            <w:tcW w:w="2127" w:type="dxa"/>
            <w:vAlign w:val="center"/>
          </w:tcPr>
          <w:p w14:paraId="425A42FC" w14:textId="3A7AF191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4.1. </w:t>
            </w:r>
            <w:r w:rsidRPr="00DC7176">
              <w:rPr>
                <w:rFonts w:ascii="Cambria" w:eastAsia="Times New Roman" w:hAnsi="Cambria" w:cs="Times New Roman"/>
                <w:sz w:val="20"/>
                <w:lang w:eastAsia="zh-CN"/>
              </w:rPr>
              <w:t>Tantervi</w:t>
            </w:r>
          </w:p>
        </w:tc>
        <w:tc>
          <w:tcPr>
            <w:tcW w:w="8364" w:type="dxa"/>
          </w:tcPr>
          <w:p w14:paraId="5AC32B87" w14:textId="59FB3945" w:rsidR="00134DCA" w:rsidRPr="00972DAD" w:rsidRDefault="00134DCA" w:rsidP="00134DCA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>
              <w:rPr>
                <w:rFonts w:ascii="Times New Roman" w:hAnsi="Times New Roman"/>
                <w:lang w:val="hu-HU"/>
              </w:rPr>
              <w:t>Nincsenek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1BC89717" w14:textId="054247A5" w:rsidR="00134DCA" w:rsidRPr="00972DAD" w:rsidRDefault="00134DCA" w:rsidP="00134DCA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134DCA" w:rsidRPr="00972DAD" w14:paraId="4F603DEB" w14:textId="77777777" w:rsidTr="00134DCA">
        <w:trPr>
          <w:trHeight w:val="284"/>
        </w:trPr>
        <w:tc>
          <w:tcPr>
            <w:tcW w:w="2127" w:type="dxa"/>
            <w:vAlign w:val="center"/>
          </w:tcPr>
          <w:p w14:paraId="66DAD90A" w14:textId="72602CF9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4.2. </w:t>
            </w:r>
            <w:r w:rsidRPr="00B833AD">
              <w:rPr>
                <w:rFonts w:ascii="Cambria" w:eastAsia="Times New Roman" w:hAnsi="Cambria" w:cs="Times New Roman"/>
                <w:sz w:val="20"/>
                <w:lang w:eastAsia="zh-CN"/>
              </w:rPr>
              <w:t>Kompetenciabeli</w:t>
            </w:r>
          </w:p>
        </w:tc>
        <w:tc>
          <w:tcPr>
            <w:tcW w:w="8364" w:type="dxa"/>
          </w:tcPr>
          <w:p w14:paraId="1C37B797" w14:textId="15D0EF59" w:rsidR="00134DCA" w:rsidRPr="00972DAD" w:rsidRDefault="00134DCA" w:rsidP="00134DCA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lang w:val="hu-HU"/>
              </w:rPr>
              <w:t xml:space="preserve">Nincsenek 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4C547CB" w14:textId="6CFC0AD0" w:rsidR="00134DCA" w:rsidRPr="00972DAD" w:rsidRDefault="00134DCA" w:rsidP="00134DCA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2775DF30" w:rsidR="008E6D88" w:rsidRPr="009D436C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1E3A7D">
        <w:rPr>
          <w:rFonts w:ascii="Cambria" w:eastAsia="Times New Roman" w:hAnsi="Cambria" w:cs="Times New Roman"/>
          <w:b/>
          <w:sz w:val="20"/>
          <w:lang w:eastAsia="zh-CN"/>
        </w:rPr>
        <w:t xml:space="preserve">5. </w:t>
      </w:r>
      <w:r w:rsidR="008A0887" w:rsidRPr="008A0887">
        <w:rPr>
          <w:rFonts w:ascii="Cambria" w:eastAsia="Times New Roman" w:hAnsi="Cambria" w:cs="Times New Roman"/>
          <w:b/>
          <w:sz w:val="20"/>
          <w:lang w:eastAsia="zh-CN"/>
        </w:rPr>
        <w:t xml:space="preserve">Feltételek </w:t>
      </w:r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>(ha vannak)</w:t>
      </w:r>
    </w:p>
    <w:tbl>
      <w:tblPr>
        <w:tblW w:w="16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618"/>
        <w:gridCol w:w="5618"/>
      </w:tblGrid>
      <w:tr w:rsidR="00134DCA" w:rsidRPr="00972DAD" w14:paraId="23125FAA" w14:textId="77777777" w:rsidTr="00134DCA">
        <w:trPr>
          <w:trHeight w:val="284"/>
        </w:trPr>
        <w:tc>
          <w:tcPr>
            <w:tcW w:w="4821" w:type="dxa"/>
            <w:vAlign w:val="center"/>
          </w:tcPr>
          <w:p w14:paraId="0573268D" w14:textId="2F08C33F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5.1. </w:t>
            </w:r>
            <w:r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Az előadás lebonyolításának feltételei</w:t>
            </w:r>
          </w:p>
        </w:tc>
        <w:tc>
          <w:tcPr>
            <w:tcW w:w="5618" w:type="dxa"/>
          </w:tcPr>
          <w:p w14:paraId="3FC42F89" w14:textId="77777777" w:rsidR="00134DCA" w:rsidRPr="005F3C46" w:rsidRDefault="00134DCA" w:rsidP="00134DCA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  <w:lang w:val="hu-HU"/>
              </w:rPr>
            </w:pPr>
            <w:r w:rsidRPr="005F3C46">
              <w:rPr>
                <w:rFonts w:ascii="Times New Roman" w:hAnsi="Times New Roman"/>
                <w:lang w:val="hu-HU"/>
              </w:rPr>
              <w:t>Az előadásokon való részvételt a mindenkor érvényes egyetemi dokumentumok szabályozzák.</w:t>
            </w:r>
          </w:p>
          <w:p w14:paraId="6995CE8C" w14:textId="646064DF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 w:rsidRPr="005F3C46">
              <w:rPr>
                <w:rFonts w:ascii="Times New Roman" w:hAnsi="Times New Roman"/>
                <w:lang w:val="hu-HU"/>
              </w:rPr>
              <w:t>Előadástechnikai eszközök</w:t>
            </w:r>
          </w:p>
        </w:tc>
        <w:tc>
          <w:tcPr>
            <w:tcW w:w="5618" w:type="dxa"/>
            <w:vAlign w:val="center"/>
          </w:tcPr>
          <w:p w14:paraId="2D9AB4AF" w14:textId="5736BA4C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134DCA" w:rsidRPr="00972DAD" w14:paraId="41B31065" w14:textId="77777777" w:rsidTr="00134DCA">
        <w:trPr>
          <w:trHeight w:val="284"/>
        </w:trPr>
        <w:tc>
          <w:tcPr>
            <w:tcW w:w="4821" w:type="dxa"/>
            <w:vAlign w:val="center"/>
          </w:tcPr>
          <w:p w14:paraId="12ECB82E" w14:textId="5FDA0E89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5.2. </w:t>
            </w:r>
            <w:r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A szeminárium / labor lebonyolításának feltételei</w:t>
            </w:r>
          </w:p>
        </w:tc>
        <w:tc>
          <w:tcPr>
            <w:tcW w:w="5618" w:type="dxa"/>
          </w:tcPr>
          <w:p w14:paraId="610AB180" w14:textId="77777777" w:rsidR="00134DCA" w:rsidRDefault="00134DCA" w:rsidP="00134DCA">
            <w:pPr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A szeminárium sikeres zárásához kötelező a </w:t>
            </w:r>
            <w:r w:rsidRPr="00D33700">
              <w:rPr>
                <w:rFonts w:ascii="Times New Roman" w:hAnsi="Times New Roman"/>
                <w:lang w:val="hu-HU"/>
              </w:rPr>
              <w:t>házi feladatok</w:t>
            </w:r>
            <w:r>
              <w:rPr>
                <w:rFonts w:ascii="Times New Roman" w:hAnsi="Times New Roman"/>
                <w:lang w:val="hu-HU"/>
              </w:rPr>
              <w:t xml:space="preserve"> leadása</w:t>
            </w:r>
          </w:p>
          <w:p w14:paraId="72486A51" w14:textId="77777777" w:rsidR="00134DCA" w:rsidRDefault="00134DCA" w:rsidP="00134DCA">
            <w:pPr>
              <w:snapToGrid w:val="0"/>
              <w:spacing w:after="0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határidőre</w:t>
            </w:r>
          </w:p>
          <w:p w14:paraId="5F239811" w14:textId="77777777" w:rsidR="00134DCA" w:rsidRDefault="00134DCA" w:rsidP="00134DCA">
            <w:pPr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lastRenderedPageBreak/>
              <w:t>A félév során leadott dolgozatoknak egyéni hozzájárulást kell</w:t>
            </w:r>
          </w:p>
          <w:p w14:paraId="738D9AB7" w14:textId="77777777" w:rsidR="00134DCA" w:rsidRDefault="00134DCA" w:rsidP="00134DCA">
            <w:pPr>
              <w:snapToGrid w:val="0"/>
              <w:spacing w:after="0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tartalmazniuk. Plágium esetében a hallgató elveszíti a vizsgán és</w:t>
            </w:r>
          </w:p>
          <w:p w14:paraId="3A6FD828" w14:textId="1A7556D1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>
              <w:rPr>
                <w:rFonts w:ascii="Times New Roman" w:hAnsi="Times New Roman"/>
                <w:lang w:val="hu-HU"/>
              </w:rPr>
              <w:t>utóvizsgán való részvétel jogát, esetenként a kari tanács elő terjeszthető az eltanácsolás javaslata.</w:t>
            </w:r>
          </w:p>
        </w:tc>
        <w:tc>
          <w:tcPr>
            <w:tcW w:w="5618" w:type="dxa"/>
            <w:vAlign w:val="center"/>
          </w:tcPr>
          <w:p w14:paraId="1E6271C3" w14:textId="28615E6A" w:rsidR="00134DCA" w:rsidRPr="00972DAD" w:rsidRDefault="00134DCA" w:rsidP="00134DCA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25D1A019" w14:textId="5C3A299F" w:rsidR="00C76710" w:rsidRPr="00D12BC3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 xml:space="preserve">6.1. </w:t>
      </w:r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Elsajátítandó jellemző kompetenciák</w:t>
      </w:r>
      <w:r w:rsidRPr="006C3B8A">
        <w:rPr>
          <w:rFonts w:ascii="Cambria" w:eastAsia="Times New Roman" w:hAnsi="Cambria" w:cs="Times New Roman"/>
          <w:b/>
          <w:bCs/>
          <w:sz w:val="20"/>
          <w:vertAlign w:val="superscript"/>
          <w:lang w:eastAsia="zh-CN"/>
        </w:rPr>
        <w:footnoteReference w:id="1"/>
      </w:r>
    </w:p>
    <w:tbl>
      <w:tblPr>
        <w:tblW w:w="201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  <w:gridCol w:w="9639"/>
      </w:tblGrid>
      <w:tr w:rsidR="00134DCA" w:rsidRPr="0039068A" w14:paraId="691B4F18" w14:textId="77777777" w:rsidTr="00134DCA">
        <w:trPr>
          <w:cantSplit/>
          <w:trHeight w:val="2884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281D491" w14:textId="7E383159" w:rsidR="00134DCA" w:rsidRPr="000B7D0D" w:rsidRDefault="00134DCA" w:rsidP="00134DCA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40174">
              <w:rPr>
                <w:rFonts w:ascii="Cambria" w:hAnsi="Cambria"/>
                <w:b/>
                <w:sz w:val="20"/>
                <w:szCs w:val="20"/>
              </w:rPr>
              <w:t>Szakmai/kulcs-kompetenciák</w:t>
            </w:r>
          </w:p>
        </w:tc>
        <w:tc>
          <w:tcPr>
            <w:tcW w:w="9639" w:type="dxa"/>
          </w:tcPr>
          <w:p w14:paraId="68A7388E" w14:textId="57934220" w:rsidR="00134DCA" w:rsidRDefault="00134DCA" w:rsidP="00134DCA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B7A0D">
              <w:rPr>
                <w:rFonts w:ascii="Times New Roman" w:hAnsi="Times New Roman"/>
                <w:color w:val="000000"/>
                <w:sz w:val="23"/>
                <w:szCs w:val="23"/>
              </w:rPr>
              <w:t>Az információ- és kommunikációtudományok területéhez kapcsolódó szaknyelv és a szakmai ismeretek elsajátítása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14:paraId="72317C6B" w14:textId="77777777" w:rsidR="00134DCA" w:rsidRDefault="00134DCA" w:rsidP="00134DCA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A kommunik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hu-HU"/>
              </w:rPr>
              <w:t>ációtudomány alapfogalmainak elsajátítása és értő használata.</w:t>
            </w:r>
          </w:p>
          <w:p w14:paraId="6F7F1718" w14:textId="77777777" w:rsidR="00134DCA" w:rsidRDefault="00134DCA" w:rsidP="00134DCA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hu-HU"/>
              </w:rPr>
              <w:t>A kommunikációtudományi szaknyelv elsajátítása és értő használata.</w:t>
            </w:r>
          </w:p>
          <w:p w14:paraId="79A5E83B" w14:textId="77777777" w:rsidR="00134DCA" w:rsidRDefault="00134DCA" w:rsidP="00134DCA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hu-HU"/>
              </w:rPr>
              <w:t>A kommunikációs jelenségek modelljeinek és elméleteinek ismerete.</w:t>
            </w:r>
          </w:p>
          <w:p w14:paraId="74322B77" w14:textId="6CCB0AA7" w:rsidR="00134DCA" w:rsidRPr="000B7D0D" w:rsidRDefault="00134DCA" w:rsidP="00134DCA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Times New Roman" w:hAnsi="Times New Roman"/>
                <w:lang w:val="hu-HU"/>
              </w:rPr>
              <w:t>A kommunikációs helyzetek és a kommunikáció mint szakterület speciális helyzeteinek fogalmi magyarázata.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9C4AC85" w14:textId="338AF051" w:rsidR="00134DCA" w:rsidRPr="000B7D0D" w:rsidRDefault="00134DCA" w:rsidP="00134DCA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34DCA" w:rsidRPr="0039068A" w14:paraId="1F728DFD" w14:textId="77777777" w:rsidTr="00134DCA">
        <w:trPr>
          <w:cantSplit/>
          <w:trHeight w:val="1775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7B63152" w14:textId="42791C4C" w:rsidR="00134DCA" w:rsidRPr="000B7D0D" w:rsidRDefault="00134DCA" w:rsidP="00134DCA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F271A">
              <w:rPr>
                <w:rFonts w:ascii="Cambria" w:hAnsi="Cambria"/>
                <w:b/>
                <w:sz w:val="20"/>
                <w:szCs w:val="20"/>
              </w:rPr>
              <w:t>Transzverzális kompetenciák</w:t>
            </w:r>
          </w:p>
        </w:tc>
        <w:tc>
          <w:tcPr>
            <w:tcW w:w="9639" w:type="dxa"/>
          </w:tcPr>
          <w:p w14:paraId="4464A62C" w14:textId="05E5C67A" w:rsidR="00134DCA" w:rsidRPr="00A94306" w:rsidRDefault="00134DCA" w:rsidP="00134DCA">
            <w:pPr>
              <w:pStyle w:val="Default"/>
              <w:rPr>
                <w:sz w:val="23"/>
                <w:szCs w:val="23"/>
              </w:rPr>
            </w:pPr>
            <w:r w:rsidRPr="00A94306">
              <w:rPr>
                <w:sz w:val="23"/>
                <w:szCs w:val="23"/>
              </w:rPr>
              <w:t xml:space="preserve">Közepes bonyolultságú problematikus helyzetek hatékony kezelése megfelelő elméleti alátámasztással és gyakorlati megoldásokkal, betartva a szakmai és deontológiai szempontokat. </w:t>
            </w:r>
          </w:p>
          <w:p w14:paraId="6447C96A" w14:textId="263FABCB" w:rsidR="00134DCA" w:rsidRDefault="00134DCA" w:rsidP="00134D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Multidiszciplináris munkacsoportban való hatékony munkavégzés elsajátítása, a csoporton belüli szerepnek megfelelő munkavégzés.</w:t>
            </w:r>
          </w:p>
          <w:p w14:paraId="157A4224" w14:textId="20AA0852" w:rsidR="00134DCA" w:rsidRPr="000B7D0D" w:rsidRDefault="00134DCA" w:rsidP="00134D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sz w:val="23"/>
                <w:szCs w:val="23"/>
              </w:rPr>
              <w:t>Az egyéni szakmai fejlődés tényszerű felmérése, a munkaerőpiacra való belépés és az elvárásoknak megfelelő fejlődés érdekében.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38EFC52" w14:textId="7E6F78CD" w:rsidR="00134DCA" w:rsidRPr="000B7D0D" w:rsidRDefault="00134DCA" w:rsidP="00134DCA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78FDF1F" w14:textId="28761A88" w:rsidR="00AB0DE7" w:rsidRPr="00AB0DE7" w:rsidRDefault="00AB0DE7" w:rsidP="00D60DDF">
      <w:pPr>
        <w:spacing w:after="0"/>
        <w:ind w:hanging="425"/>
        <w:rPr>
          <w:rFonts w:ascii="Cambria" w:hAnsi="Cambria"/>
          <w:b/>
          <w:sz w:val="20"/>
          <w:szCs w:val="20"/>
        </w:rPr>
      </w:pPr>
      <w:r w:rsidRPr="00AB0DE7">
        <w:rPr>
          <w:rFonts w:ascii="Cambria" w:hAnsi="Cambria"/>
          <w:b/>
          <w:sz w:val="20"/>
          <w:szCs w:val="20"/>
        </w:rPr>
        <w:t xml:space="preserve">6.2. </w:t>
      </w:r>
      <w:r w:rsidR="003A480A" w:rsidRPr="003A480A">
        <w:rPr>
          <w:rFonts w:ascii="Cambria" w:hAnsi="Cambria"/>
          <w:b/>
          <w:sz w:val="20"/>
          <w:szCs w:val="20"/>
        </w:rPr>
        <w:t>Tanulási eredmények</w:t>
      </w:r>
      <w:r w:rsidR="006822AB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0B7D0D" w:rsidRPr="0039068A" w14:paraId="2D7D0394" w14:textId="77777777" w:rsidTr="00301E97">
        <w:trPr>
          <w:cantSplit/>
          <w:trHeight w:val="1460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43C75A0D" w14:textId="6C0A4054" w:rsidR="000B7D0D" w:rsidRPr="000B7D0D" w:rsidRDefault="00D33E76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3E76">
              <w:rPr>
                <w:rFonts w:ascii="Cambria" w:hAnsi="Cambria"/>
                <w:b/>
                <w:sz w:val="20"/>
                <w:szCs w:val="20"/>
              </w:rPr>
              <w:t>Ismeretek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1D6836E" w14:textId="5B234C04" w:rsidR="000B7D0D" w:rsidRPr="000B7D0D" w:rsidRDefault="00BF4DE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F4DEE">
              <w:rPr>
                <w:rFonts w:ascii="Cambria" w:hAnsi="Cambria"/>
                <w:sz w:val="20"/>
                <w:szCs w:val="20"/>
              </w:rPr>
              <w:t>A hallgató ismeri:......</w:t>
            </w:r>
          </w:p>
        </w:tc>
      </w:tr>
      <w:tr w:rsidR="000B7D0D" w:rsidRPr="0039068A" w14:paraId="06344140" w14:textId="77777777" w:rsidTr="00301E97">
        <w:trPr>
          <w:cantSplit/>
          <w:trHeight w:val="1398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2FFF1ED5" w14:textId="1B2854B6" w:rsidR="000B7D0D" w:rsidRPr="000B7D0D" w:rsidRDefault="00E65FEC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65FEC">
              <w:rPr>
                <w:rFonts w:ascii="Cambria" w:hAnsi="Cambria"/>
                <w:b/>
                <w:sz w:val="20"/>
                <w:szCs w:val="20"/>
              </w:rPr>
              <w:t>Képességek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94E9197" w14:textId="0CB7108D" w:rsidR="000B7D0D" w:rsidRPr="000B7D0D" w:rsidRDefault="0051199C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199C">
              <w:rPr>
                <w:rFonts w:ascii="Cambria" w:hAnsi="Cambria"/>
                <w:iCs/>
                <w:sz w:val="20"/>
                <w:szCs w:val="20"/>
              </w:rPr>
              <w:t>A hallgató képes...</w:t>
            </w:r>
          </w:p>
        </w:tc>
      </w:tr>
      <w:tr w:rsidR="000B7D0D" w:rsidRPr="0039068A" w14:paraId="006035DA" w14:textId="77777777" w:rsidTr="00301E97">
        <w:trPr>
          <w:cantSplit/>
          <w:trHeight w:val="1699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31AF2E59" w14:textId="14BF44C3" w:rsidR="000B7D0D" w:rsidRPr="000B7D0D" w:rsidRDefault="00247A61" w:rsidP="002B38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7A61">
              <w:rPr>
                <w:rFonts w:ascii="Cambria" w:hAnsi="Cambria"/>
                <w:b/>
                <w:sz w:val="20"/>
                <w:szCs w:val="20"/>
              </w:rPr>
              <w:t>Felelősség és önállóság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891E739" w14:textId="7CE7AB77" w:rsidR="000B7D0D" w:rsidRPr="000B7D0D" w:rsidRDefault="00696CC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6CC8">
              <w:rPr>
                <w:rFonts w:ascii="Cambria" w:hAnsi="Cambria"/>
                <w:iCs/>
                <w:sz w:val="20"/>
                <w:szCs w:val="20"/>
              </w:rPr>
              <w:t>A hallgató képes önállóan dolgozni ...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A9B11BA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 xml:space="preserve">7. </w:t>
      </w:r>
      <w:r w:rsidR="0094452F" w:rsidRPr="0094452F">
        <w:rPr>
          <w:rFonts w:ascii="Cambria" w:hAnsi="Cambria"/>
          <w:b/>
          <w:sz w:val="20"/>
          <w:szCs w:val="20"/>
        </w:rPr>
        <w:t xml:space="preserve">A tantárgy célkitűzései </w:t>
      </w:r>
      <w:r w:rsidR="0094452F" w:rsidRPr="00FA27C7">
        <w:rPr>
          <w:rFonts w:ascii="Cambria" w:hAnsi="Cambria"/>
          <w:bCs/>
          <w:sz w:val="20"/>
          <w:szCs w:val="20"/>
        </w:rPr>
        <w:t>(az elsajátítandó jellemző kompetenciák alapján)</w:t>
      </w:r>
    </w:p>
    <w:tbl>
      <w:tblPr>
        <w:tblW w:w="174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946"/>
        <w:gridCol w:w="6946"/>
      </w:tblGrid>
      <w:tr w:rsidR="00134DCA" w:rsidRPr="000B7D0D" w14:paraId="70D4DA02" w14:textId="77777777" w:rsidTr="00134DCA">
        <w:trPr>
          <w:cantSplit/>
          <w:trHeight w:val="1003"/>
        </w:trPr>
        <w:tc>
          <w:tcPr>
            <w:tcW w:w="3545" w:type="dxa"/>
            <w:shd w:val="clear" w:color="auto" w:fill="auto"/>
            <w:vAlign w:val="center"/>
          </w:tcPr>
          <w:p w14:paraId="64DCA41D" w14:textId="6B8152F7" w:rsidR="00134DCA" w:rsidRPr="000B7D0D" w:rsidRDefault="00134DCA" w:rsidP="00134DC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7.1 </w:t>
            </w:r>
            <w:r w:rsidRPr="005A565B">
              <w:rPr>
                <w:rFonts w:ascii="Cambria" w:hAnsi="Cambria"/>
                <w:b/>
                <w:sz w:val="20"/>
                <w:szCs w:val="20"/>
              </w:rPr>
              <w:t>A tantárgy általános célkitűzése</w:t>
            </w:r>
          </w:p>
        </w:tc>
        <w:tc>
          <w:tcPr>
            <w:tcW w:w="6946" w:type="dxa"/>
          </w:tcPr>
          <w:p w14:paraId="441387A4" w14:textId="787D19AB" w:rsidR="00134DCA" w:rsidRPr="00694E26" w:rsidRDefault="00134DCA" w:rsidP="00134D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31EAB">
              <w:rPr>
                <w:rFonts w:ascii="Times New Roman" w:hAnsi="Times New Roman"/>
                <w:color w:val="000000"/>
                <w:sz w:val="23"/>
                <w:szCs w:val="23"/>
              </w:rPr>
              <w:t>Az előadás célja a  kommunikációtudományi alapismeretek és alapfogalmak elsajátítása.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90CB51" w14:textId="24F0C71E" w:rsidR="00134DCA" w:rsidRPr="00694E26" w:rsidRDefault="00134DCA" w:rsidP="00134D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0B7D0D" w14:paraId="36D1494C" w14:textId="77777777" w:rsidTr="00134DCA">
        <w:trPr>
          <w:cantSplit/>
          <w:trHeight w:val="832"/>
        </w:trPr>
        <w:tc>
          <w:tcPr>
            <w:tcW w:w="3545" w:type="dxa"/>
            <w:shd w:val="clear" w:color="auto" w:fill="auto"/>
            <w:vAlign w:val="center"/>
          </w:tcPr>
          <w:p w14:paraId="30BC7B09" w14:textId="38E06527" w:rsidR="00134DCA" w:rsidRPr="000B7D0D" w:rsidRDefault="00134DCA" w:rsidP="00134DC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 xml:space="preserve">7.2 </w:t>
            </w:r>
            <w:r w:rsidRPr="00CC0909">
              <w:rPr>
                <w:rFonts w:ascii="Times New Roman" w:hAnsi="Times New Roman"/>
                <w:lang w:val="hu-HU"/>
              </w:rPr>
              <w:t>A tantárgy sajátos célkitűzései</w:t>
            </w:r>
          </w:p>
        </w:tc>
        <w:tc>
          <w:tcPr>
            <w:tcW w:w="6946" w:type="dxa"/>
          </w:tcPr>
          <w:p w14:paraId="724EBE89" w14:textId="77777777" w:rsidR="00134DCA" w:rsidRDefault="00134DCA" w:rsidP="00134DC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31EAB">
              <w:rPr>
                <w:rFonts w:ascii="Times New Roman" w:hAnsi="Times New Roman"/>
                <w:color w:val="000000"/>
                <w:sz w:val="23"/>
                <w:szCs w:val="23"/>
              </w:rPr>
              <w:t>A tárgy azt a fogalmi keretet kívánja megteremteni, amelyben a későbbi, elmélyültebb, illetve szakosodott tanulmányok során megszerezhető ismeretek és készségek elhelyezhetők lesznek. A kommunikációtudomány specifikus fogalmainak bevezetése mellett a tantárgy segít tájékozódni annak különböző kutatási és alkalmazási területei között. Az előadások során áttekintjük a kommunikáció néhány lehetséges meghatározását, a főbb kommunikációs modelleket, valamint a kommunikáció különböző területeit és médiumait, a verbális és vizuális kommunikációtól a tömegkommunikáción át a kultúraközi kommunikációig.</w:t>
            </w:r>
          </w:p>
          <w:p w14:paraId="73C28B9F" w14:textId="51F09311" w:rsidR="00134DCA" w:rsidRPr="00694E26" w:rsidRDefault="00134DCA" w:rsidP="00134D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5AD8">
              <w:rPr>
                <w:rFonts w:ascii="Times New Roman" w:hAnsi="Times New Roman"/>
                <w:sz w:val="23"/>
                <w:szCs w:val="23"/>
              </w:rPr>
              <w:t>A szemináriumok</w:t>
            </w:r>
            <w:r>
              <w:rPr>
                <w:rFonts w:ascii="Times New Roman" w:hAnsi="Times New Roman"/>
                <w:sz w:val="23"/>
                <w:szCs w:val="23"/>
              </w:rPr>
              <w:t>elsősorban a kommunikáció gyakorlati kérdéseire világítanak rá. Mind az órák, mind pedig az önálló feladatok során a hallgatók kommunikáció készségeinek fejlesztésére kerül sor, amelyek verbális és non-verbális vonatkozásban is fejleszteni kívánnak.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9C8C8EF" w14:textId="7E789A40" w:rsidR="00134DCA" w:rsidRPr="00694E26" w:rsidRDefault="00134DCA" w:rsidP="00134D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1FEF1DEA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130C98" w:rsidRPr="00130C98">
        <w:rPr>
          <w:rFonts w:ascii="Cambria" w:hAnsi="Cambria"/>
          <w:b/>
          <w:sz w:val="20"/>
          <w:szCs w:val="20"/>
        </w:rPr>
        <w:t>A tantárgy tartalma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110"/>
        <w:gridCol w:w="3261"/>
      </w:tblGrid>
      <w:tr w:rsidR="002A3A93" w:rsidRPr="002A3A93" w14:paraId="5486D853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7B7DE2C8" w14:textId="184D0CCF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8.1 </w:t>
            </w:r>
            <w:r w:rsidR="001C6F32" w:rsidRPr="001C6F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7721A81" w14:textId="34182D43" w:rsidR="002A3A93" w:rsidRPr="002A3A93" w:rsidRDefault="002F705C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 módszerek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6F867A" w14:textId="3D1FD71F" w:rsidR="002A3A93" w:rsidRPr="002A3A93" w:rsidRDefault="00E04E32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</w:p>
        </w:tc>
      </w:tr>
      <w:tr w:rsidR="00134DCA" w:rsidRPr="002A3A93" w14:paraId="24407265" w14:textId="77777777" w:rsidTr="00FE0E0A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5425D878" w14:textId="3D4837CA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Bevezetés</w:t>
            </w:r>
          </w:p>
        </w:tc>
        <w:tc>
          <w:tcPr>
            <w:tcW w:w="4110" w:type="dxa"/>
            <w:shd w:val="clear" w:color="auto" w:fill="auto"/>
          </w:tcPr>
          <w:p w14:paraId="4AEE5826" w14:textId="169126E3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és csoportos beszélgetés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B87A81" w14:textId="77777777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4DCA" w:rsidRPr="002A3A93" w14:paraId="0B451E2D" w14:textId="77777777" w:rsidTr="00FE0E0A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577143C3" w14:textId="598D9886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A kommunikáció tudományai a klasszikus retorikától az identitáselméletekig</w:t>
            </w:r>
          </w:p>
        </w:tc>
        <w:tc>
          <w:tcPr>
            <w:tcW w:w="4110" w:type="dxa"/>
            <w:shd w:val="clear" w:color="auto" w:fill="auto"/>
          </w:tcPr>
          <w:p w14:paraId="2F417D16" w14:textId="28212027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688862" w14:textId="19DB38FC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Griffin 2001: 34–48. (A terület feltérképezése)</w:t>
            </w:r>
            <w:r w:rsidRPr="00942512">
              <w:rPr>
                <w:rFonts w:ascii="Times New Roman" w:hAnsi="Times New Roman"/>
                <w:lang w:val="fr-FR"/>
              </w:rPr>
              <w:t>;</w:t>
            </w:r>
            <w:r w:rsidRPr="002932AE">
              <w:rPr>
                <w:rFonts w:ascii="Times New Roman" w:hAnsi="Times New Roman"/>
              </w:rPr>
              <w:t xml:space="preserve"> Griffin 2001: 281-291. (Arisztotel</w:t>
            </w:r>
            <w:r w:rsidRPr="002932AE">
              <w:rPr>
                <w:rFonts w:ascii="Times New Roman" w:hAnsi="Times New Roman"/>
                <w:lang w:val="hu-HU"/>
              </w:rPr>
              <w:t>ész retorikája)</w:t>
            </w:r>
          </w:p>
        </w:tc>
      </w:tr>
      <w:tr w:rsidR="00134DCA" w:rsidRPr="002A3A93" w14:paraId="047DE1FD" w14:textId="77777777" w:rsidTr="00FE0E0A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75A36083" w14:textId="0A25D399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Kommunikációtörténeti alapok. A kommunikációs technológiák mint történelemformáló tényezők</w:t>
            </w:r>
          </w:p>
        </w:tc>
        <w:tc>
          <w:tcPr>
            <w:tcW w:w="4110" w:type="dxa"/>
            <w:shd w:val="clear" w:color="auto" w:fill="auto"/>
          </w:tcPr>
          <w:p w14:paraId="17BA7C53" w14:textId="683342F6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404402" w14:textId="119CC1EB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Griffin 2001: 321–333. (Technológiai determinizmus. Marshall McLuhan)</w:t>
            </w:r>
          </w:p>
        </w:tc>
      </w:tr>
      <w:tr w:rsidR="00134DCA" w:rsidRPr="002A3A93" w14:paraId="30D75F9C" w14:textId="77777777" w:rsidTr="00FE0E0A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6C53518B" w14:textId="45C81316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Kommunikációs modellek I. A kommunikáció mint információcsere</w:t>
            </w:r>
          </w:p>
        </w:tc>
        <w:tc>
          <w:tcPr>
            <w:tcW w:w="4110" w:type="dxa"/>
            <w:shd w:val="clear" w:color="auto" w:fill="auto"/>
          </w:tcPr>
          <w:p w14:paraId="536C28E5" w14:textId="27910E1B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69CC81" w14:textId="02D6F6DB" w:rsidR="00134DCA" w:rsidRPr="002A3A93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Griffin 2001: 36–38. (A kibernetikai hagyomány); Terestyéni 2006: 17–36. (Információ-kommunikáció)</w:t>
            </w:r>
          </w:p>
        </w:tc>
      </w:tr>
      <w:tr w:rsidR="00134DCA" w:rsidRPr="00C02345" w14:paraId="004A8D06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DDB6" w14:textId="0BC8E942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 xml:space="preserve">Kommunikációs modellek II. A kommunikáció mint nyelvi cselekvés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4D03" w14:textId="35A93736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0EA" w14:textId="37B7DFDC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sz w:val="22"/>
                <w:szCs w:val="22"/>
              </w:rPr>
              <w:t>Terestyéni 2006: 131–161. (Kommunikáció és cselekvés)</w:t>
            </w:r>
          </w:p>
        </w:tc>
      </w:tr>
      <w:tr w:rsidR="00134DCA" w:rsidRPr="00C02345" w14:paraId="3D0D45CE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D4C1" w14:textId="2413CFE5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Kommunikációs modellek III. A kommunikáció mint kultúraformáló tényező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515" w14:textId="271B36EB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9E1C" w14:textId="5A16AE16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Griffin 2001: 359–368. (A kultiv</w:t>
            </w:r>
            <w:r w:rsidRPr="002932AE">
              <w:rPr>
                <w:rFonts w:ascii="Times New Roman" w:hAnsi="Times New Roman"/>
                <w:lang w:val="hu-HU"/>
              </w:rPr>
              <w:t xml:space="preserve">ációs elmélet); </w:t>
            </w:r>
            <w:r w:rsidRPr="002932AE">
              <w:rPr>
                <w:rFonts w:ascii="Times New Roman" w:hAnsi="Times New Roman"/>
              </w:rPr>
              <w:t xml:space="preserve">Carey 2003: 252–270. (A kommunikáció kulturális megközelítése) </w:t>
            </w:r>
          </w:p>
        </w:tc>
      </w:tr>
      <w:tr w:rsidR="00134DCA" w:rsidRPr="00C02345" w14:paraId="245D3C71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BB10" w14:textId="33215E3B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i/>
              </w:rPr>
              <w:t>Parciális vizsga az első rész anyagából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3CBD" w14:textId="77777777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F608" w14:textId="77777777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4DCA" w:rsidRPr="00C02345" w14:paraId="05A36399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82FC" w14:textId="2228C7EA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Hol kezdődik a kommunikáció? Állati kommunikáció és nonverbális kommunikáció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BF6A" w14:textId="118A249E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EC06" w14:textId="7BAB753F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 w:eastAsia="ro-RO"/>
              </w:rPr>
              <w:t xml:space="preserve">Kenesei 2004: 17–34. (Állati kommunikáció – emberi nyelv); </w:t>
            </w:r>
            <w:r w:rsidRPr="002932AE">
              <w:rPr>
                <w:rFonts w:ascii="Times New Roman" w:hAnsi="Times New Roman"/>
                <w:lang w:eastAsia="ro-RO"/>
              </w:rPr>
              <w:t>Csákvári–Malinák 1998: 20-27. (Nem verbális kommunikáció)</w:t>
            </w:r>
          </w:p>
        </w:tc>
      </w:tr>
      <w:tr w:rsidR="00134DCA" w:rsidRPr="00C02345" w14:paraId="164B750D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C814" w14:textId="7BBDE666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lastRenderedPageBreak/>
              <w:t>Nyelv és verbális kommunikáció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575E" w14:textId="3F3CC247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F4F0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</w:rPr>
              <w:t xml:space="preserve">Terestyéni 2006: 75–98. </w:t>
            </w:r>
            <w:r w:rsidRPr="002932AE">
              <w:rPr>
                <w:rFonts w:ascii="Times New Roman" w:hAnsi="Times New Roman"/>
                <w:lang w:eastAsia="ro-RO"/>
              </w:rPr>
              <w:t>(A nyelv);</w:t>
            </w:r>
          </w:p>
          <w:p w14:paraId="7834A283" w14:textId="2EC2582E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eastAsia="ro-RO"/>
              </w:rPr>
              <w:t>Csákvári–Malinák 1998: 17–19. (A kommunikáció jellemzői).</w:t>
            </w:r>
          </w:p>
        </w:tc>
      </w:tr>
      <w:tr w:rsidR="00134DCA" w:rsidRPr="00C02345" w14:paraId="7966EF21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A56C" w14:textId="70BDB101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Képek és vizuális kommunikáció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F5BB" w14:textId="383C5A77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C413" w14:textId="7E675EAB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 xml:space="preserve">Csákvári–Malinák 1998: </w:t>
            </w:r>
            <w:r w:rsidRPr="002932AE">
              <w:rPr>
                <w:rFonts w:ascii="Times New Roman" w:hAnsi="Times New Roman"/>
                <w:lang w:eastAsia="ro-RO"/>
              </w:rPr>
              <w:t>94–98. (A fénykép kódjai)</w:t>
            </w:r>
          </w:p>
        </w:tc>
      </w:tr>
      <w:tr w:rsidR="00134DCA" w:rsidRPr="00C02345" w14:paraId="4BE1A16E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0ECB" w14:textId="5EA7C559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A tömegkommunikáció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6AB9" w14:textId="654AD1A7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11D" w14:textId="0259EA35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 xml:space="preserve">Gálik 2020: 11-28. </w:t>
            </w:r>
            <w:r w:rsidRPr="002932AE">
              <w:rPr>
                <w:rFonts w:ascii="Times New Roman" w:hAnsi="Times New Roman"/>
                <w:lang w:eastAsia="ro-RO"/>
              </w:rPr>
              <w:t>(Kommunikáció, tömegkommunikáció, média)</w:t>
            </w:r>
          </w:p>
        </w:tc>
      </w:tr>
      <w:tr w:rsidR="00134DCA" w:rsidRPr="00C02345" w14:paraId="68715ABF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BC01" w14:textId="4E7AB45E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 xml:space="preserve"> Online platformok és közösségi média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2D55" w14:textId="54664E12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E3CD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  <w:lang w:eastAsia="ro-RO"/>
              </w:rPr>
            </w:pPr>
            <w:r w:rsidRPr="002932AE">
              <w:rPr>
                <w:rFonts w:ascii="Times New Roman" w:hAnsi="Times New Roman"/>
                <w:lang w:eastAsia="ro-RO"/>
              </w:rPr>
              <w:t>Gálik 2020: 11-28. (Kommunikáció, tömegkommunikáció. média);</w:t>
            </w:r>
          </w:p>
          <w:p w14:paraId="34C0EDD9" w14:textId="3CA91274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eastAsia="ro-RO"/>
              </w:rPr>
              <w:t>Tófalvy 2017: 101–123. (Technopesszimisták és digitális utópisták)</w:t>
            </w:r>
          </w:p>
        </w:tc>
      </w:tr>
      <w:tr w:rsidR="00134DCA" w:rsidRPr="00C02345" w14:paraId="2A28B659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79D6" w14:textId="3D35C408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 xml:space="preserve">A kommunikáció </w:t>
            </w:r>
            <w:r w:rsidRPr="002932AE">
              <w:rPr>
                <w:rFonts w:ascii="Times New Roman" w:hAnsi="Times New Roman"/>
                <w:lang w:val="hu-HU"/>
              </w:rPr>
              <w:t>területei és</w:t>
            </w:r>
            <w:r w:rsidRPr="002932AE">
              <w:rPr>
                <w:rFonts w:ascii="Times New Roman" w:hAnsi="Times New Roman"/>
              </w:rPr>
              <w:t xml:space="preserve"> funkci</w:t>
            </w:r>
            <w:r w:rsidRPr="002932AE">
              <w:rPr>
                <w:rFonts w:ascii="Times New Roman" w:hAnsi="Times New Roman"/>
                <w:lang w:val="hu-HU"/>
              </w:rPr>
              <w:t>ói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ED18" w14:textId="52AE4338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 (vetített vázlat, illusztrációk), kérdések, válaszok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905B" w14:textId="02558CCB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eastAsia="ro-RO"/>
              </w:rPr>
              <w:t>Rosengren 2004: 99–120. (Személyközi kommunikáció. Csoportkommunikáció);</w:t>
            </w:r>
            <w:r w:rsidRPr="002932AE">
              <w:rPr>
                <w:rFonts w:ascii="Times New Roman" w:hAnsi="Times New Roman"/>
                <w:lang w:eastAsia="ro-RO"/>
              </w:rPr>
              <w:br/>
              <w:t>Terestyéni 2006: 259–263. (McQuail elemzése a kommunikáció funkcióiról)</w:t>
            </w:r>
          </w:p>
        </w:tc>
      </w:tr>
      <w:tr w:rsidR="00134DCA" w:rsidRPr="00C02345" w14:paraId="6E15A46B" w14:textId="77777777" w:rsidTr="00FE0E0A">
        <w:trPr>
          <w:trHeight w:val="2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E667" w14:textId="27070C3B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</w:rPr>
              <w:t>Összefoglalás, kitekintés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E318" w14:textId="546D0E06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932AE">
              <w:rPr>
                <w:rFonts w:ascii="Times New Roman" w:hAnsi="Times New Roman"/>
                <w:lang w:val="hu-HU"/>
              </w:rPr>
              <w:t>Előadás, csoportos beszélgetés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FC36" w14:textId="77777777" w:rsidR="00134DCA" w:rsidRPr="00C02345" w:rsidRDefault="00134DCA" w:rsidP="00134DCA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4DCA" w:rsidRPr="00C02345" w14:paraId="6DEC7BC6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06A02A2E" w14:textId="1DAEC055" w:rsidR="00134DCA" w:rsidRPr="002932AE" w:rsidRDefault="00134DCA" w:rsidP="00134DCA">
            <w:pPr>
              <w:spacing w:after="0"/>
              <w:rPr>
                <w:rFonts w:ascii="Times New Roman" w:hAnsi="Times New Roman"/>
                <w:b/>
              </w:rPr>
            </w:pPr>
            <w:r w:rsidRPr="002932AE">
              <w:rPr>
                <w:rFonts w:ascii="Times New Roman" w:hAnsi="Times New Roman"/>
                <w:b/>
              </w:rPr>
              <w:t>Köt</w:t>
            </w:r>
            <w:r>
              <w:rPr>
                <w:rFonts w:ascii="Times New Roman" w:hAnsi="Times New Roman"/>
                <w:b/>
              </w:rPr>
              <w:t>e</w:t>
            </w:r>
            <w:r w:rsidRPr="002932AE">
              <w:rPr>
                <w:rFonts w:ascii="Times New Roman" w:hAnsi="Times New Roman"/>
                <w:b/>
              </w:rPr>
              <w:t>lező könyvészet</w:t>
            </w:r>
          </w:p>
          <w:p w14:paraId="497ECBCD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</w:rPr>
              <w:t xml:space="preserve">(az egyes előadásoknál megjelölt részek) </w:t>
            </w:r>
          </w:p>
          <w:p w14:paraId="205D4DF1" w14:textId="77777777" w:rsidR="00134DCA" w:rsidRPr="002932AE" w:rsidRDefault="00134DCA" w:rsidP="00134DCA">
            <w:pPr>
              <w:spacing w:after="0"/>
              <w:ind w:left="360"/>
              <w:rPr>
                <w:rFonts w:ascii="Times New Roman" w:hAnsi="Times New Roman"/>
              </w:rPr>
            </w:pPr>
          </w:p>
          <w:p w14:paraId="3683E18E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</w:rPr>
            </w:pPr>
            <w:bookmarkStart w:id="0" w:name="_Hlk115718053"/>
            <w:r w:rsidRPr="002932AE">
              <w:rPr>
                <w:rFonts w:ascii="Times New Roman" w:hAnsi="Times New Roman"/>
                <w:smallCaps/>
              </w:rPr>
              <w:t xml:space="preserve">Carey, </w:t>
            </w:r>
            <w:r w:rsidRPr="002932AE">
              <w:rPr>
                <w:rFonts w:ascii="Times New Roman" w:hAnsi="Times New Roman"/>
              </w:rPr>
              <w:t>James</w:t>
            </w:r>
            <w:r w:rsidRPr="002932AE">
              <w:rPr>
                <w:rFonts w:ascii="Times New Roman" w:hAnsi="Times New Roman"/>
                <w:smallCaps/>
              </w:rPr>
              <w:t xml:space="preserve"> W. </w:t>
            </w:r>
          </w:p>
          <w:p w14:paraId="7C70D79A" w14:textId="77777777" w:rsidR="00134DCA" w:rsidRPr="002932AE" w:rsidRDefault="00134DCA" w:rsidP="00134DCA">
            <w:pPr>
              <w:numPr>
                <w:ilvl w:val="0"/>
                <w:numId w:val="5"/>
              </w:numPr>
              <w:spacing w:after="0" w:line="276" w:lineRule="auto"/>
              <w:ind w:left="1416" w:hanging="708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iCs/>
              </w:rPr>
              <w:t xml:space="preserve">A kommunikáció kulturális megközelítése. In </w:t>
            </w:r>
            <w:r w:rsidRPr="002932AE">
              <w:rPr>
                <w:rFonts w:ascii="Times New Roman" w:hAnsi="Times New Roman"/>
              </w:rPr>
              <w:t>Kondor Zsuzsanna – Fábri</w:t>
            </w:r>
            <w:r w:rsidRPr="002932AE">
              <w:rPr>
                <w:rFonts w:ascii="Times New Roman" w:hAnsi="Times New Roman"/>
                <w:smallCaps/>
              </w:rPr>
              <w:t xml:space="preserve"> </w:t>
            </w:r>
            <w:r w:rsidRPr="002932AE">
              <w:rPr>
                <w:rFonts w:ascii="Times New Roman" w:hAnsi="Times New Roman"/>
              </w:rPr>
              <w:t>György (szerk.)</w:t>
            </w:r>
            <w:r w:rsidRPr="002932AE">
              <w:rPr>
                <w:rFonts w:ascii="Times New Roman" w:hAnsi="Times New Roman"/>
                <w:i/>
              </w:rPr>
              <w:t xml:space="preserve">Az információs társadalom és a kommunikációtechnológia elméletei és kulcsfogalmai. </w:t>
            </w:r>
            <w:r w:rsidRPr="002932AE">
              <w:rPr>
                <w:rFonts w:ascii="Times New Roman" w:hAnsi="Times New Roman"/>
              </w:rPr>
              <w:t>Századvég Kiadó, Budapest.</w:t>
            </w:r>
          </w:p>
          <w:bookmarkEnd w:id="0"/>
          <w:p w14:paraId="100C390B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smallCaps/>
              </w:rPr>
              <w:t xml:space="preserve">Csákvári </w:t>
            </w:r>
            <w:r w:rsidRPr="002932AE">
              <w:rPr>
                <w:rFonts w:ascii="Times New Roman" w:hAnsi="Times New Roman"/>
              </w:rPr>
              <w:t xml:space="preserve">József – </w:t>
            </w:r>
            <w:r w:rsidRPr="002932AE">
              <w:rPr>
                <w:rFonts w:ascii="Times New Roman" w:hAnsi="Times New Roman"/>
                <w:smallCaps/>
              </w:rPr>
              <w:t xml:space="preserve">Malinák </w:t>
            </w:r>
            <w:r w:rsidRPr="002932AE">
              <w:rPr>
                <w:rFonts w:ascii="Times New Roman" w:hAnsi="Times New Roman"/>
              </w:rPr>
              <w:t xml:space="preserve">Judit </w:t>
            </w:r>
          </w:p>
          <w:p w14:paraId="3FF5057B" w14:textId="77777777" w:rsidR="00134DCA" w:rsidRPr="002932AE" w:rsidRDefault="00134DCA" w:rsidP="00134DCA">
            <w:pPr>
              <w:spacing w:after="0"/>
              <w:ind w:firstLine="708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iCs/>
              </w:rPr>
              <w:t>1998</w:t>
            </w:r>
            <w:r w:rsidRPr="002932AE">
              <w:rPr>
                <w:rFonts w:ascii="Times New Roman" w:hAnsi="Times New Roman"/>
                <w:iCs/>
              </w:rPr>
              <w:tab/>
            </w:r>
            <w:r w:rsidRPr="002932AE">
              <w:rPr>
                <w:rFonts w:ascii="Times New Roman" w:hAnsi="Times New Roman"/>
                <w:i/>
              </w:rPr>
              <w:t xml:space="preserve">Média-galaxis. </w:t>
            </w:r>
            <w:r w:rsidRPr="002932AE">
              <w:rPr>
                <w:rFonts w:ascii="Times New Roman" w:hAnsi="Times New Roman"/>
                <w:iCs/>
              </w:rPr>
              <w:t>Szimbiózis, Budapest.</w:t>
            </w:r>
          </w:p>
          <w:p w14:paraId="35E01926" w14:textId="77777777" w:rsidR="00134DCA" w:rsidRPr="002932AE" w:rsidRDefault="00134DCA" w:rsidP="00134DCA">
            <w:pPr>
              <w:tabs>
                <w:tab w:val="left" w:pos="0"/>
              </w:tabs>
              <w:spacing w:after="0"/>
              <w:ind w:left="709" w:hanging="709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smallCaps/>
              </w:rPr>
              <w:t xml:space="preserve">Gálik </w:t>
            </w:r>
            <w:r w:rsidRPr="002932AE">
              <w:rPr>
                <w:rFonts w:ascii="Times New Roman" w:hAnsi="Times New Roman"/>
              </w:rPr>
              <w:t>Mihály</w:t>
            </w:r>
            <w:r w:rsidRPr="002932AE">
              <w:rPr>
                <w:rFonts w:ascii="Times New Roman" w:hAnsi="Times New Roman"/>
                <w:smallCaps/>
              </w:rPr>
              <w:t xml:space="preserve"> – Csordás </w:t>
            </w:r>
            <w:r w:rsidRPr="002932AE">
              <w:rPr>
                <w:rFonts w:ascii="Times New Roman" w:hAnsi="Times New Roman"/>
              </w:rPr>
              <w:t>Tamás</w:t>
            </w:r>
            <w:r w:rsidRPr="002932AE">
              <w:rPr>
                <w:rFonts w:ascii="Times New Roman" w:hAnsi="Times New Roman"/>
                <w:smallCaps/>
              </w:rPr>
              <w:t>,</w:t>
            </w:r>
            <w:r w:rsidRPr="002932AE">
              <w:rPr>
                <w:rFonts w:ascii="Times New Roman" w:hAnsi="Times New Roman"/>
              </w:rPr>
              <w:t xml:space="preserve"> szerk. </w:t>
            </w:r>
            <w:r w:rsidRPr="002932AE">
              <w:rPr>
                <w:rFonts w:ascii="Times New Roman" w:hAnsi="Times New Roman"/>
              </w:rPr>
              <w:br/>
              <w:t xml:space="preserve">2020 </w:t>
            </w:r>
            <w:r w:rsidRPr="002932AE">
              <w:rPr>
                <w:rFonts w:ascii="Times New Roman" w:hAnsi="Times New Roman"/>
              </w:rPr>
              <w:tab/>
            </w:r>
            <w:r w:rsidRPr="002932AE">
              <w:rPr>
                <w:rFonts w:ascii="Times New Roman" w:hAnsi="Times New Roman"/>
                <w:i/>
                <w:iCs/>
              </w:rPr>
              <w:t xml:space="preserve">A média gazdaságtanának kézikönyve. </w:t>
            </w:r>
            <w:r w:rsidRPr="002932AE">
              <w:rPr>
                <w:rFonts w:ascii="Times New Roman" w:hAnsi="Times New Roman"/>
              </w:rPr>
              <w:t xml:space="preserve">Médiatudományi Intézet, Budapest. </w:t>
            </w:r>
          </w:p>
          <w:p w14:paraId="71319BFF" w14:textId="77777777" w:rsidR="00134DCA" w:rsidRPr="002932AE" w:rsidRDefault="00134DCA" w:rsidP="00134DCA">
            <w:pPr>
              <w:spacing w:after="0"/>
              <w:ind w:left="708" w:hanging="708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smallCaps/>
              </w:rPr>
              <w:t>Griffin</w:t>
            </w:r>
            <w:r w:rsidRPr="002932AE">
              <w:rPr>
                <w:rFonts w:ascii="Times New Roman" w:hAnsi="Times New Roman"/>
              </w:rPr>
              <w:t>, Em</w:t>
            </w:r>
          </w:p>
          <w:p w14:paraId="173A73A2" w14:textId="77777777" w:rsidR="00134DCA" w:rsidRPr="002932AE" w:rsidRDefault="00134DCA" w:rsidP="00134DCA">
            <w:pPr>
              <w:spacing w:after="0"/>
              <w:ind w:left="1416" w:hanging="708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</w:rPr>
              <w:t>2001</w:t>
            </w:r>
            <w:r w:rsidRPr="002932AE">
              <w:rPr>
                <w:rFonts w:ascii="Times New Roman" w:hAnsi="Times New Roman"/>
              </w:rPr>
              <w:tab/>
            </w:r>
            <w:r w:rsidRPr="002932AE">
              <w:rPr>
                <w:rFonts w:ascii="Times New Roman" w:hAnsi="Times New Roman"/>
                <w:i/>
                <w:iCs/>
              </w:rPr>
              <w:t xml:space="preserve">Bevezetés a kommunikációelméletbe. </w:t>
            </w:r>
            <w:r w:rsidRPr="002932AE">
              <w:rPr>
                <w:rFonts w:ascii="Times New Roman" w:hAnsi="Times New Roman"/>
              </w:rPr>
              <w:t>Ford. Szigeti L. László. Harmat, Budapest.</w:t>
            </w:r>
          </w:p>
          <w:p w14:paraId="3872DA34" w14:textId="77777777" w:rsidR="00134DCA" w:rsidRPr="002932AE" w:rsidRDefault="00134DCA" w:rsidP="00134DCA">
            <w:pPr>
              <w:spacing w:after="0"/>
              <w:ind w:left="602" w:hanging="602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smallCaps/>
              </w:rPr>
              <w:t>Kenesei</w:t>
            </w:r>
            <w:r w:rsidRPr="002932AE">
              <w:rPr>
                <w:rFonts w:ascii="Times New Roman" w:hAnsi="Times New Roman"/>
              </w:rPr>
              <w:t>, István, szerk.</w:t>
            </w:r>
          </w:p>
          <w:p w14:paraId="2929DA41" w14:textId="77777777" w:rsidR="00134DCA" w:rsidRPr="002932AE" w:rsidRDefault="00134DCA" w:rsidP="00134DCA">
            <w:pPr>
              <w:tabs>
                <w:tab w:val="left" w:pos="1386"/>
              </w:tabs>
              <w:spacing w:after="0"/>
              <w:ind w:left="708"/>
              <w:rPr>
                <w:rFonts w:ascii="Times New Roman" w:hAnsi="Times New Roman"/>
                <w:smallCaps/>
              </w:rPr>
            </w:pPr>
            <w:r w:rsidRPr="002932AE">
              <w:rPr>
                <w:rFonts w:ascii="Times New Roman" w:hAnsi="Times New Roman"/>
              </w:rPr>
              <w:t xml:space="preserve">2004 </w:t>
            </w:r>
            <w:r w:rsidRPr="002932AE">
              <w:rPr>
                <w:rFonts w:ascii="Times New Roman" w:hAnsi="Times New Roman"/>
              </w:rPr>
              <w:tab/>
            </w:r>
            <w:r w:rsidRPr="002932AE">
              <w:rPr>
                <w:rFonts w:ascii="Times New Roman" w:hAnsi="Times New Roman"/>
                <w:i/>
                <w:iCs/>
              </w:rPr>
              <w:t>A nyelv és a nyelvek</w:t>
            </w:r>
            <w:r w:rsidRPr="002932AE">
              <w:rPr>
                <w:rFonts w:ascii="Times New Roman" w:hAnsi="Times New Roman"/>
              </w:rPr>
              <w:t>. 5., jav.bőv.kiad. Akad</w:t>
            </w:r>
            <w:r w:rsidRPr="002932AE">
              <w:rPr>
                <w:rFonts w:ascii="Times New Roman" w:hAnsi="Times New Roman"/>
                <w:lang w:val="hu-HU"/>
              </w:rPr>
              <w:t>émiai Kiadó, Budapest.</w:t>
            </w:r>
          </w:p>
          <w:p w14:paraId="45A6AF87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smallCaps/>
              </w:rPr>
              <w:t xml:space="preserve">Rosengren, </w:t>
            </w:r>
            <w:r w:rsidRPr="002932AE">
              <w:rPr>
                <w:rFonts w:ascii="Times New Roman" w:hAnsi="Times New Roman"/>
              </w:rPr>
              <w:t>Karl Erik</w:t>
            </w:r>
          </w:p>
          <w:p w14:paraId="26A8A590" w14:textId="77777777" w:rsidR="00134DCA" w:rsidRPr="002932AE" w:rsidRDefault="00134DCA" w:rsidP="00134DCA">
            <w:pPr>
              <w:spacing w:after="0"/>
              <w:ind w:left="708"/>
              <w:rPr>
                <w:rFonts w:ascii="Times New Roman" w:hAnsi="Times New Roman"/>
                <w:smallCaps/>
              </w:rPr>
            </w:pPr>
            <w:r w:rsidRPr="002932AE">
              <w:rPr>
                <w:rFonts w:ascii="Times New Roman" w:hAnsi="Times New Roman"/>
              </w:rPr>
              <w:t>2004</w:t>
            </w:r>
            <w:r w:rsidRPr="002932AE">
              <w:rPr>
                <w:rFonts w:ascii="Times New Roman" w:hAnsi="Times New Roman"/>
              </w:rPr>
              <w:tab/>
            </w:r>
            <w:r w:rsidRPr="002932AE">
              <w:rPr>
                <w:rFonts w:ascii="Times New Roman" w:hAnsi="Times New Roman"/>
                <w:i/>
                <w:iCs/>
              </w:rPr>
              <w:t xml:space="preserve">Kommunikáció. </w:t>
            </w:r>
            <w:r w:rsidRPr="002932AE">
              <w:rPr>
                <w:rFonts w:ascii="Times New Roman" w:hAnsi="Times New Roman"/>
                <w:iCs/>
              </w:rPr>
              <w:t>Typotex, Budapest.</w:t>
            </w:r>
          </w:p>
          <w:p w14:paraId="2EE43EC9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smallCaps/>
              </w:rPr>
              <w:t xml:space="preserve">Terestyéni </w:t>
            </w:r>
            <w:r w:rsidRPr="002932AE">
              <w:rPr>
                <w:rFonts w:ascii="Times New Roman" w:hAnsi="Times New Roman"/>
              </w:rPr>
              <w:t>Tamás</w:t>
            </w:r>
          </w:p>
          <w:p w14:paraId="054964B6" w14:textId="77777777" w:rsidR="00134DCA" w:rsidRPr="002932AE" w:rsidRDefault="00134DCA" w:rsidP="00134DCA">
            <w:pPr>
              <w:spacing w:after="0"/>
              <w:ind w:left="360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</w:rPr>
              <w:tab/>
              <w:t>2006</w:t>
            </w:r>
            <w:r w:rsidRPr="002932AE">
              <w:rPr>
                <w:rFonts w:ascii="Times New Roman" w:hAnsi="Times New Roman"/>
              </w:rPr>
              <w:tab/>
            </w:r>
            <w:r w:rsidRPr="002932AE">
              <w:rPr>
                <w:rFonts w:ascii="Times New Roman" w:hAnsi="Times New Roman"/>
                <w:i/>
              </w:rPr>
              <w:t xml:space="preserve">Kommunikációelmélet. A testbeszédtől az internetig. </w:t>
            </w:r>
            <w:r w:rsidRPr="002932AE">
              <w:rPr>
                <w:rFonts w:ascii="Times New Roman" w:hAnsi="Times New Roman"/>
              </w:rPr>
              <w:t>Akti-Typotex, Budapest.</w:t>
            </w:r>
          </w:p>
          <w:p w14:paraId="6BA95CBA" w14:textId="77777777" w:rsidR="00134DCA" w:rsidRPr="002932AE" w:rsidRDefault="00134DCA" w:rsidP="00134DCA">
            <w:pPr>
              <w:spacing w:after="0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smallCaps/>
              </w:rPr>
              <w:t xml:space="preserve">Tófalvy </w:t>
            </w:r>
            <w:r w:rsidRPr="002932AE">
              <w:rPr>
                <w:rFonts w:ascii="Times New Roman" w:hAnsi="Times New Roman"/>
              </w:rPr>
              <w:t>Tamás</w:t>
            </w:r>
          </w:p>
          <w:p w14:paraId="5B5737C4" w14:textId="77777777" w:rsidR="00134DCA" w:rsidRPr="002932AE" w:rsidRDefault="00134DCA" w:rsidP="00134DCA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spacing w:after="0" w:line="276" w:lineRule="auto"/>
              <w:ind w:left="1418" w:hanging="709"/>
              <w:rPr>
                <w:rFonts w:ascii="Times New Roman" w:hAnsi="Times New Roman"/>
              </w:rPr>
            </w:pPr>
            <w:r w:rsidRPr="002932AE">
              <w:rPr>
                <w:rFonts w:ascii="Times New Roman" w:hAnsi="Times New Roman"/>
                <w:i/>
                <w:iCs/>
              </w:rPr>
              <w:t>A digitális jó és rossz születése: technológia, kultúra és az újságírás 21. századi átalakulása</w:t>
            </w:r>
            <w:r w:rsidRPr="002932AE">
              <w:rPr>
                <w:rFonts w:ascii="Times New Roman" w:hAnsi="Times New Roman"/>
              </w:rPr>
              <w:t>. Budapest: L’Harmattan.</w:t>
            </w:r>
          </w:p>
          <w:p w14:paraId="28D0D0F1" w14:textId="31C70444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C02345" w14:paraId="724C172F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24554D0C" w14:textId="6B7617A1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 xml:space="preserve">8.2 </w:t>
            </w:r>
            <w:r w:rsidRPr="004D3AF6">
              <w:rPr>
                <w:rFonts w:ascii="Cambria" w:hAnsi="Cambria"/>
                <w:sz w:val="20"/>
                <w:szCs w:val="20"/>
              </w:rPr>
              <w:t>Szeminárium / Labor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799169" w14:textId="522A20FD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 módszerek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CC5100" w14:textId="3D08C0AE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</w:p>
        </w:tc>
      </w:tr>
      <w:tr w:rsidR="00134DCA" w:rsidRPr="00C02345" w14:paraId="74734A45" w14:textId="77777777" w:rsidTr="0024769F">
        <w:trPr>
          <w:trHeight w:val="284"/>
        </w:trPr>
        <w:tc>
          <w:tcPr>
            <w:tcW w:w="3120" w:type="dxa"/>
            <w:shd w:val="clear" w:color="auto" w:fill="auto"/>
          </w:tcPr>
          <w:p w14:paraId="6C224A07" w14:textId="113C3CB3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lastRenderedPageBreak/>
              <w:t>1.Bevezetés, ismerkedés</w:t>
            </w:r>
          </w:p>
        </w:tc>
        <w:tc>
          <w:tcPr>
            <w:tcW w:w="4110" w:type="dxa"/>
            <w:shd w:val="clear" w:color="auto" w:fill="auto"/>
          </w:tcPr>
          <w:p w14:paraId="7A7ED45E" w14:textId="4EF14B9C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Vetített, interkatív bemutató, csoportos beszélgetés</w:t>
            </w:r>
          </w:p>
        </w:tc>
        <w:tc>
          <w:tcPr>
            <w:tcW w:w="3261" w:type="dxa"/>
            <w:shd w:val="clear" w:color="auto" w:fill="auto"/>
          </w:tcPr>
          <w:p w14:paraId="6EA614A7" w14:textId="19EE7C70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Félév felépítése, szemináriumi elvárások, egyéni bemutató felépítésének követelésrendszere</w:t>
            </w:r>
          </w:p>
        </w:tc>
      </w:tr>
      <w:tr w:rsidR="00134DCA" w:rsidRPr="00C02345" w14:paraId="058026E7" w14:textId="77777777" w:rsidTr="0024769F">
        <w:trPr>
          <w:trHeight w:val="284"/>
        </w:trPr>
        <w:tc>
          <w:tcPr>
            <w:tcW w:w="3120" w:type="dxa"/>
            <w:shd w:val="clear" w:color="auto" w:fill="auto"/>
          </w:tcPr>
          <w:p w14:paraId="05F51FCC" w14:textId="6D28833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2.Kommunikáció online térben – Hogyan, hol, miért, kivel, mit kommunikálunk</w:t>
            </w:r>
          </w:p>
        </w:tc>
        <w:tc>
          <w:tcPr>
            <w:tcW w:w="4110" w:type="dxa"/>
            <w:shd w:val="clear" w:color="auto" w:fill="auto"/>
          </w:tcPr>
          <w:p w14:paraId="27D189C9" w14:textId="463ECD7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Vetített, interkatív bemutató, kiscsoportos foglalkozás</w:t>
            </w:r>
          </w:p>
        </w:tc>
        <w:tc>
          <w:tcPr>
            <w:tcW w:w="3261" w:type="dxa"/>
            <w:shd w:val="clear" w:color="auto" w:fill="auto"/>
          </w:tcPr>
          <w:p w14:paraId="2C9FB219" w14:textId="7777777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C02345" w14:paraId="7D7D415D" w14:textId="77777777" w:rsidTr="0024769F">
        <w:trPr>
          <w:trHeight w:val="284"/>
        </w:trPr>
        <w:tc>
          <w:tcPr>
            <w:tcW w:w="3120" w:type="dxa"/>
            <w:shd w:val="clear" w:color="auto" w:fill="auto"/>
          </w:tcPr>
          <w:p w14:paraId="206119C7" w14:textId="725D2B10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3. Verbális és nonverbális kommunikáció az online térben</w:t>
            </w:r>
          </w:p>
        </w:tc>
        <w:tc>
          <w:tcPr>
            <w:tcW w:w="4110" w:type="dxa"/>
            <w:shd w:val="clear" w:color="auto" w:fill="auto"/>
          </w:tcPr>
          <w:p w14:paraId="4826A110" w14:textId="7B4A0709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Vetített, interkatív bemutató, kiscsoportos foglalkozás</w:t>
            </w:r>
          </w:p>
        </w:tc>
        <w:tc>
          <w:tcPr>
            <w:tcW w:w="3261" w:type="dxa"/>
            <w:shd w:val="clear" w:color="auto" w:fill="auto"/>
          </w:tcPr>
          <w:p w14:paraId="0CFDBE61" w14:textId="7777777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C02345" w14:paraId="5C80429B" w14:textId="77777777" w:rsidTr="0024769F">
        <w:trPr>
          <w:trHeight w:val="284"/>
        </w:trPr>
        <w:tc>
          <w:tcPr>
            <w:tcW w:w="3120" w:type="dxa"/>
            <w:shd w:val="clear" w:color="auto" w:fill="auto"/>
          </w:tcPr>
          <w:p w14:paraId="49417A7B" w14:textId="61FCD8C8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4. Verbális és nonverbális kommunikáció az online térben</w:t>
            </w:r>
          </w:p>
        </w:tc>
        <w:tc>
          <w:tcPr>
            <w:tcW w:w="4110" w:type="dxa"/>
            <w:shd w:val="clear" w:color="auto" w:fill="auto"/>
          </w:tcPr>
          <w:p w14:paraId="70049786" w14:textId="3C155BE1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Vetített, interkatív bemutató, kicsoportos foglalkozás</w:t>
            </w:r>
          </w:p>
        </w:tc>
        <w:tc>
          <w:tcPr>
            <w:tcW w:w="3261" w:type="dxa"/>
            <w:shd w:val="clear" w:color="auto" w:fill="auto"/>
          </w:tcPr>
          <w:p w14:paraId="7B35DD85" w14:textId="7777777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C02345" w14:paraId="7CE0FEF2" w14:textId="77777777" w:rsidTr="0024769F">
        <w:trPr>
          <w:trHeight w:val="284"/>
        </w:trPr>
        <w:tc>
          <w:tcPr>
            <w:tcW w:w="3120" w:type="dxa"/>
            <w:shd w:val="clear" w:color="auto" w:fill="auto"/>
          </w:tcPr>
          <w:p w14:paraId="38AD5159" w14:textId="1A729DCF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5. Az vagy, amit küldesz – Hogyan lesznek az általunk használt vizuális eszközök az online identitásunk részei?</w:t>
            </w:r>
          </w:p>
        </w:tc>
        <w:tc>
          <w:tcPr>
            <w:tcW w:w="4110" w:type="dxa"/>
            <w:shd w:val="clear" w:color="auto" w:fill="auto"/>
          </w:tcPr>
          <w:p w14:paraId="6C16A557" w14:textId="3A1CC439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Vetített, interkatív bemutató, kiscsoportos foglalkozás</w:t>
            </w:r>
          </w:p>
        </w:tc>
        <w:tc>
          <w:tcPr>
            <w:tcW w:w="3261" w:type="dxa"/>
            <w:shd w:val="clear" w:color="auto" w:fill="auto"/>
          </w:tcPr>
          <w:p w14:paraId="3BD1DB90" w14:textId="7777777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C02345" w14:paraId="79E716CA" w14:textId="77777777" w:rsidTr="0024769F">
        <w:trPr>
          <w:trHeight w:val="284"/>
        </w:trPr>
        <w:tc>
          <w:tcPr>
            <w:tcW w:w="3120" w:type="dxa"/>
            <w:shd w:val="clear" w:color="auto" w:fill="auto"/>
          </w:tcPr>
          <w:p w14:paraId="75DEB152" w14:textId="7CA0971E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6. Egyéni bemutatók</w:t>
            </w:r>
          </w:p>
        </w:tc>
        <w:tc>
          <w:tcPr>
            <w:tcW w:w="4110" w:type="dxa"/>
            <w:shd w:val="clear" w:color="auto" w:fill="auto"/>
          </w:tcPr>
          <w:p w14:paraId="7B459C02" w14:textId="37D266FD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Kiscsoportos foglalkozás, egyéni bemutatók</w:t>
            </w:r>
          </w:p>
        </w:tc>
        <w:tc>
          <w:tcPr>
            <w:tcW w:w="3261" w:type="dxa"/>
            <w:shd w:val="clear" w:color="auto" w:fill="auto"/>
          </w:tcPr>
          <w:p w14:paraId="387EF76E" w14:textId="7777777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C02345" w14:paraId="694660E2" w14:textId="77777777" w:rsidTr="0024769F">
        <w:trPr>
          <w:trHeight w:val="284"/>
        </w:trPr>
        <w:tc>
          <w:tcPr>
            <w:tcW w:w="3120" w:type="dxa"/>
            <w:shd w:val="clear" w:color="auto" w:fill="auto"/>
          </w:tcPr>
          <w:p w14:paraId="44ABA25D" w14:textId="1DC5D2F3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7. Egyéni bemutatók</w:t>
            </w:r>
          </w:p>
        </w:tc>
        <w:tc>
          <w:tcPr>
            <w:tcW w:w="4110" w:type="dxa"/>
            <w:shd w:val="clear" w:color="auto" w:fill="auto"/>
          </w:tcPr>
          <w:p w14:paraId="078097B7" w14:textId="493A825A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932AE">
              <w:rPr>
                <w:rFonts w:ascii="Times New Roman" w:hAnsi="Times New Roman"/>
              </w:rPr>
              <w:t>Kiscsoportos foglalkozás, egyéni bemutatók</w:t>
            </w:r>
          </w:p>
        </w:tc>
        <w:tc>
          <w:tcPr>
            <w:tcW w:w="3261" w:type="dxa"/>
            <w:shd w:val="clear" w:color="auto" w:fill="auto"/>
          </w:tcPr>
          <w:p w14:paraId="6B48F75B" w14:textId="77777777" w:rsidR="00134DCA" w:rsidRPr="00C02345" w:rsidRDefault="00134DCA" w:rsidP="00134DC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4DCA" w:rsidRPr="00C02345" w14:paraId="2512011A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65706CFD" w14:textId="79446379" w:rsidR="00134DCA" w:rsidRPr="00C02345" w:rsidRDefault="00134DCA" w:rsidP="00134DCA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57B1C">
              <w:rPr>
                <w:rFonts w:ascii="Cambria" w:hAnsi="Cambria"/>
                <w:sz w:val="20"/>
                <w:szCs w:val="20"/>
              </w:rPr>
              <w:t>Könyvészet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570614E2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3A5763" w:rsidRPr="003A5763">
        <w:rPr>
          <w:rFonts w:ascii="Cambria" w:hAnsi="Cambria"/>
          <w:b/>
          <w:sz w:val="20"/>
          <w:szCs w:val="20"/>
        </w:rPr>
        <w:t>Az episztemikus közösségek képviselői, a szakmai egyesületek és a szakterület reprezentatív munkáltatói elvárásainak összhangba hozása a tantárgy tartalmával.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2E4459">
        <w:trPr>
          <w:trHeight w:val="2869"/>
        </w:trPr>
        <w:tc>
          <w:tcPr>
            <w:tcW w:w="10491" w:type="dxa"/>
          </w:tcPr>
          <w:p w14:paraId="2B940AFD" w14:textId="444FE924" w:rsidR="0084568F" w:rsidRPr="002E4459" w:rsidRDefault="00134DCA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/>
                <w:lang w:val="hu-HU"/>
              </w:rPr>
              <w:t>A tantárgy alapozó jellegű: elvégzése nyomán a hallgatók képesek lesznek saját szakterületükön elmélyültebb tanulmányokat folytatni.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143D010A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116EEC" w:rsidRPr="00116EEC">
        <w:rPr>
          <w:rFonts w:ascii="Cambria" w:hAnsi="Cambria"/>
          <w:b/>
          <w:sz w:val="20"/>
          <w:szCs w:val="20"/>
        </w:rPr>
        <w:t>Értékelés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580"/>
        <w:gridCol w:w="2622"/>
        <w:gridCol w:w="1967"/>
      </w:tblGrid>
      <w:tr w:rsidR="00134DCA" w14:paraId="0C410795" w14:textId="77777777" w:rsidTr="00B108A6">
        <w:tc>
          <w:tcPr>
            <w:tcW w:w="2642" w:type="dxa"/>
          </w:tcPr>
          <w:p w14:paraId="7D6FBEE2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 w:rsidRPr="00450A21">
              <w:rPr>
                <w:rFonts w:ascii="Times New Roman" w:hAnsi="Times New Roman"/>
                <w:lang w:val="hu-HU"/>
              </w:rPr>
              <w:t>Tevékenység típusa</w:t>
            </w:r>
          </w:p>
        </w:tc>
        <w:tc>
          <w:tcPr>
            <w:tcW w:w="2780" w:type="dxa"/>
            <w:shd w:val="clear" w:color="auto" w:fill="auto"/>
          </w:tcPr>
          <w:p w14:paraId="42FAF11E" w14:textId="77777777" w:rsidR="00134DCA" w:rsidRPr="00450A21" w:rsidRDefault="00134DCA" w:rsidP="00B108A6">
            <w:pPr>
              <w:spacing w:after="0" w:line="240" w:lineRule="auto"/>
              <w:ind w:left="46" w:right="-154"/>
              <w:rPr>
                <w:rFonts w:ascii="Times New Roman" w:hAnsi="Times New Roman"/>
                <w:lang w:val="hu-HU"/>
              </w:rPr>
            </w:pPr>
            <w:r w:rsidRPr="00450A21">
              <w:rPr>
                <w:rFonts w:ascii="Times New Roman" w:hAnsi="Times New Roman"/>
                <w:lang w:val="hu-HU"/>
              </w:rPr>
              <w:t>10.1 Értékelési kritériumok</w:t>
            </w:r>
          </w:p>
        </w:tc>
        <w:tc>
          <w:tcPr>
            <w:tcW w:w="2880" w:type="dxa"/>
          </w:tcPr>
          <w:p w14:paraId="3000E00B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 w:rsidRPr="00450A21">
              <w:rPr>
                <w:rFonts w:ascii="Times New Roman" w:hAnsi="Times New Roman"/>
                <w:lang w:val="hu-HU"/>
              </w:rPr>
              <w:t>10.2 Értékelési módszerek</w:t>
            </w:r>
          </w:p>
        </w:tc>
        <w:tc>
          <w:tcPr>
            <w:tcW w:w="2154" w:type="dxa"/>
          </w:tcPr>
          <w:p w14:paraId="2C9FDF2A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 w:rsidRPr="00450A21">
              <w:rPr>
                <w:rFonts w:ascii="Times New Roman" w:hAnsi="Times New Roman"/>
                <w:lang w:val="hu-HU"/>
              </w:rPr>
              <w:t>10.3 Aránya a végső jegyben</w:t>
            </w:r>
          </w:p>
        </w:tc>
      </w:tr>
      <w:tr w:rsidR="00134DCA" w14:paraId="47105FC3" w14:textId="77777777" w:rsidTr="00B108A6">
        <w:trPr>
          <w:trHeight w:val="135"/>
        </w:trPr>
        <w:tc>
          <w:tcPr>
            <w:tcW w:w="2642" w:type="dxa"/>
          </w:tcPr>
          <w:p w14:paraId="35CC90E2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 w:rsidRPr="00450A21">
              <w:rPr>
                <w:rFonts w:ascii="Times New Roman" w:hAnsi="Times New Roman"/>
                <w:lang w:val="hu-HU"/>
              </w:rPr>
              <w:t xml:space="preserve">10.4 Előadás </w:t>
            </w:r>
          </w:p>
        </w:tc>
        <w:tc>
          <w:tcPr>
            <w:tcW w:w="2780" w:type="dxa"/>
            <w:shd w:val="clear" w:color="auto" w:fill="auto"/>
          </w:tcPr>
          <w:p w14:paraId="03DEF8F5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Az előadás és a bibliográfia ismerete</w:t>
            </w:r>
          </w:p>
        </w:tc>
        <w:tc>
          <w:tcPr>
            <w:tcW w:w="2880" w:type="dxa"/>
          </w:tcPr>
          <w:p w14:paraId="1C019417" w14:textId="77777777" w:rsidR="00134DCA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Parciális vizsga és záróvizsga</w:t>
            </w:r>
          </w:p>
          <w:p w14:paraId="039AFBF8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Hivatalból</w:t>
            </w:r>
          </w:p>
        </w:tc>
        <w:tc>
          <w:tcPr>
            <w:tcW w:w="2154" w:type="dxa"/>
          </w:tcPr>
          <w:p w14:paraId="6BC102C0" w14:textId="77777777" w:rsidR="00134DCA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  <w:r>
              <w:rPr>
                <w:rFonts w:ascii="Times New Roman" w:hAnsi="Times New Roman"/>
                <w:lang w:val="hu-HU"/>
              </w:rPr>
              <w:t>pont (3p + 3p)</w:t>
            </w:r>
          </w:p>
          <w:p w14:paraId="66937FA7" w14:textId="77777777" w:rsidR="00134DCA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</w:p>
          <w:p w14:paraId="439505E8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1 pont</w:t>
            </w:r>
          </w:p>
        </w:tc>
      </w:tr>
      <w:tr w:rsidR="00134DCA" w14:paraId="255EE4D5" w14:textId="77777777" w:rsidTr="00B108A6">
        <w:trPr>
          <w:trHeight w:val="135"/>
        </w:trPr>
        <w:tc>
          <w:tcPr>
            <w:tcW w:w="2642" w:type="dxa"/>
          </w:tcPr>
          <w:p w14:paraId="5A368472" w14:textId="77777777" w:rsidR="00134DCA" w:rsidRPr="005D53AE" w:rsidRDefault="00134DCA" w:rsidP="00B108A6">
            <w:pPr>
              <w:spacing w:after="0" w:line="240" w:lineRule="auto"/>
              <w:ind w:right="-150"/>
              <w:rPr>
                <w:rFonts w:ascii="Times New Roman" w:hAnsi="Times New Roman"/>
                <w:lang w:val="hu-HU"/>
              </w:rPr>
            </w:pPr>
            <w:r w:rsidRPr="005D53AE">
              <w:rPr>
                <w:rFonts w:ascii="Times New Roman" w:hAnsi="Times New Roman"/>
                <w:lang w:val="hu-HU"/>
              </w:rPr>
              <w:t>10.5 Szeminárium / Labor</w:t>
            </w:r>
          </w:p>
        </w:tc>
        <w:tc>
          <w:tcPr>
            <w:tcW w:w="2780" w:type="dxa"/>
            <w:shd w:val="clear" w:color="auto" w:fill="auto"/>
          </w:tcPr>
          <w:p w14:paraId="7883E3A0" w14:textId="77777777" w:rsidR="00134DCA" w:rsidRPr="005D53AE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 w:rsidRPr="00E14ACA">
              <w:rPr>
                <w:rFonts w:ascii="Times New Roman" w:hAnsi="Times New Roman"/>
                <w:lang w:val="hu-HU"/>
              </w:rPr>
              <w:t>A szemináriumi feladato</w:t>
            </w:r>
            <w:r>
              <w:rPr>
                <w:rFonts w:ascii="Times New Roman" w:hAnsi="Times New Roman"/>
                <w:lang w:val="hu-HU"/>
              </w:rPr>
              <w:t xml:space="preserve">k </w:t>
            </w:r>
            <w:r w:rsidRPr="00E14ACA">
              <w:rPr>
                <w:rFonts w:ascii="Times New Roman" w:hAnsi="Times New Roman"/>
                <w:lang w:val="hu-HU"/>
              </w:rPr>
              <w:t>teljesítése határidőre</w:t>
            </w:r>
          </w:p>
        </w:tc>
        <w:tc>
          <w:tcPr>
            <w:tcW w:w="2880" w:type="dxa"/>
          </w:tcPr>
          <w:p w14:paraId="76C065A3" w14:textId="77777777" w:rsidR="00134DCA" w:rsidRPr="005D53AE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 w:rsidRPr="005D53AE">
              <w:rPr>
                <w:rFonts w:ascii="Times New Roman" w:hAnsi="Times New Roman"/>
                <w:lang w:val="hu-HU"/>
              </w:rPr>
              <w:t>Ellenőrzés a félév során</w:t>
            </w:r>
          </w:p>
        </w:tc>
        <w:tc>
          <w:tcPr>
            <w:tcW w:w="2154" w:type="dxa"/>
          </w:tcPr>
          <w:p w14:paraId="4E080970" w14:textId="77777777" w:rsidR="00134DCA" w:rsidRPr="005D53AE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3 pont</w:t>
            </w:r>
          </w:p>
        </w:tc>
      </w:tr>
      <w:tr w:rsidR="00134DCA" w14:paraId="1D191CCF" w14:textId="77777777" w:rsidTr="00B108A6">
        <w:tc>
          <w:tcPr>
            <w:tcW w:w="10456" w:type="dxa"/>
            <w:gridSpan w:val="4"/>
            <w:shd w:val="clear" w:color="auto" w:fill="auto"/>
          </w:tcPr>
          <w:p w14:paraId="447D7C5F" w14:textId="77777777" w:rsidR="00134DCA" w:rsidRPr="00450A21" w:rsidRDefault="00134DCA" w:rsidP="00B108A6">
            <w:pPr>
              <w:spacing w:after="0" w:line="240" w:lineRule="auto"/>
              <w:rPr>
                <w:rFonts w:ascii="Times New Roman" w:hAnsi="Times New Roman"/>
                <w:lang w:val="hu-HU"/>
              </w:rPr>
            </w:pPr>
            <w:r w:rsidRPr="00450A21">
              <w:rPr>
                <w:rFonts w:ascii="Times New Roman" w:hAnsi="Times New Roman"/>
                <w:lang w:val="hu-HU"/>
              </w:rPr>
              <w:t>10.6 A teljesítmény minimumkövetelményei</w:t>
            </w:r>
          </w:p>
        </w:tc>
      </w:tr>
      <w:tr w:rsidR="00134DCA" w14:paraId="7C6D4EDE" w14:textId="77777777" w:rsidTr="00B108A6">
        <w:tc>
          <w:tcPr>
            <w:tcW w:w="10456" w:type="dxa"/>
            <w:gridSpan w:val="4"/>
            <w:shd w:val="clear" w:color="auto" w:fill="auto"/>
          </w:tcPr>
          <w:p w14:paraId="6772F1EF" w14:textId="77777777" w:rsidR="00134DCA" w:rsidRPr="00D33700" w:rsidRDefault="00134DCA" w:rsidP="00B108A6">
            <w:pPr>
              <w:spacing w:after="0" w:line="240" w:lineRule="auto"/>
              <w:ind w:left="641"/>
              <w:rPr>
                <w:rFonts w:ascii="Times New Roman" w:hAnsi="Times New Roman"/>
              </w:rPr>
            </w:pPr>
            <w:r w:rsidRPr="005D53AE">
              <w:rPr>
                <w:rFonts w:ascii="Times New Roman" w:hAnsi="Times New Roman"/>
                <w:lang w:val="hu-HU"/>
              </w:rPr>
              <w:t xml:space="preserve">Az 5-ös osztályzat eléréséhez </w:t>
            </w:r>
            <w:r>
              <w:rPr>
                <w:rFonts w:ascii="Times New Roman" w:hAnsi="Times New Roman"/>
                <w:lang w:val="hu-HU"/>
              </w:rPr>
              <w:t>az értékelés minden összetevőjénél minimum 50%-ot kell elérni.</w:t>
            </w:r>
          </w:p>
          <w:p w14:paraId="3FB85BA1" w14:textId="77777777" w:rsidR="00134DCA" w:rsidRDefault="00134DCA" w:rsidP="00B108A6">
            <w:pPr>
              <w:spacing w:after="0" w:line="240" w:lineRule="auto"/>
              <w:ind w:left="641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A szemináriumok minimum 70%-án kötelező megjelenni. Ennek elmulasztása a vizsgáról való kizárással jár.</w:t>
            </w:r>
          </w:p>
          <w:p w14:paraId="1EA0085B" w14:textId="77777777" w:rsidR="00134DCA" w:rsidRPr="00450A21" w:rsidRDefault="00134DCA" w:rsidP="00B108A6">
            <w:pPr>
              <w:spacing w:after="0" w:line="240" w:lineRule="auto"/>
              <w:ind w:left="641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lastRenderedPageBreak/>
              <w:t>A félév során az előadásokhoz kapcsolódó feladatok elkészítésével extra pontok gyűjthetők.</w:t>
            </w:r>
          </w:p>
        </w:tc>
      </w:tr>
      <w:tr w:rsidR="00134DCA" w14:paraId="6BF2F79A" w14:textId="77777777" w:rsidTr="00B108A6">
        <w:tc>
          <w:tcPr>
            <w:tcW w:w="10456" w:type="dxa"/>
            <w:gridSpan w:val="4"/>
            <w:shd w:val="clear" w:color="auto" w:fill="auto"/>
          </w:tcPr>
          <w:p w14:paraId="08778341" w14:textId="77777777" w:rsidR="00134DCA" w:rsidRPr="005D53AE" w:rsidRDefault="00134DCA" w:rsidP="00B108A6">
            <w:pPr>
              <w:spacing w:after="0" w:line="240" w:lineRule="auto"/>
              <w:ind w:left="641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lastRenderedPageBreak/>
              <w:t xml:space="preserve">A tantárgy keretében az egyetemi etikai normák betartása kötelező. Plagizálás és egyéb, a tisztességes munka normáitól eltérő esetekben a kari etikai szabályzat szerint járunk el </w:t>
            </w: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6AB006AC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4E0538" w:rsidRPr="004E0538">
        <w:rPr>
          <w:rFonts w:ascii="Cambria" w:hAnsi="Cambria"/>
          <w:b/>
          <w:sz w:val="20"/>
          <w:szCs w:val="20"/>
        </w:rPr>
        <w:t>SDG ikonok (Fenntartható fejlődési célok/ Sustainable Development Goals)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2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3DEFB65F" w14:textId="77777777" w:rsidTr="00CB66F3">
        <w:trPr>
          <w:trHeight w:val="1124"/>
        </w:trPr>
        <w:tc>
          <w:tcPr>
            <w:tcW w:w="1165" w:type="dxa"/>
            <w:vAlign w:val="center"/>
          </w:tcPr>
          <w:p w14:paraId="2DC7B7F0" w14:textId="2DDF11C4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1E84881" w14:textId="61B9621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732604C" w14:textId="1FF42C86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55CDE4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423B32E2" w14:textId="06C9371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41BDDBE" w14:textId="7052743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C16B376" w14:textId="2640870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  <w:tr w:rsidR="00CB66F3" w:rsidRPr="00E027F6" w14:paraId="07213EB9" w14:textId="77777777" w:rsidTr="00CB66F3">
        <w:trPr>
          <w:trHeight w:val="1124"/>
        </w:trPr>
        <w:tc>
          <w:tcPr>
            <w:tcW w:w="1165" w:type="dxa"/>
            <w:vAlign w:val="center"/>
          </w:tcPr>
          <w:p w14:paraId="303421C5" w14:textId="1488912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5B005270" w14:textId="56363454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66784A8" w14:textId="78825134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3C58DF13" w14:textId="3A723E2A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8729EAA" w14:textId="4BC797EA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03DB388" w14:textId="431BD0D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7A1D1EBA" w14:textId="1D28747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30B9DC" w14:textId="3409E72E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835"/>
        <w:gridCol w:w="1134"/>
        <w:gridCol w:w="3969"/>
      </w:tblGrid>
      <w:tr w:rsidR="006B6ABF" w:rsidRPr="003C197C" w14:paraId="2195F4D4" w14:textId="77777777" w:rsidTr="00F65EFF">
        <w:trPr>
          <w:trHeight w:val="985"/>
        </w:trPr>
        <w:tc>
          <w:tcPr>
            <w:tcW w:w="2553" w:type="dxa"/>
          </w:tcPr>
          <w:p w14:paraId="7D7E40B9" w14:textId="63AF16E0" w:rsidR="003C197C" w:rsidRPr="003C197C" w:rsidRDefault="00EF2302" w:rsidP="00BF17DD">
            <w:pPr>
              <w:rPr>
                <w:rFonts w:ascii="Cambria" w:hAnsi="Cambria"/>
              </w:rPr>
            </w:pPr>
            <w:r w:rsidRPr="00EF2302">
              <w:rPr>
                <w:rFonts w:ascii="Cambria" w:hAnsi="Cambria"/>
              </w:rPr>
              <w:t>Kitöltés dátuma</w:t>
            </w:r>
            <w:r w:rsidR="003C197C" w:rsidRPr="003C197C">
              <w:rPr>
                <w:rFonts w:ascii="Cambria" w:hAnsi="Cambria"/>
              </w:rPr>
              <w:t>:</w:t>
            </w:r>
          </w:p>
          <w:p w14:paraId="6F85EC4B" w14:textId="66CA9585" w:rsidR="003C197C" w:rsidRPr="003C197C" w:rsidRDefault="000F2528" w:rsidP="003C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2025.01.15</w:t>
            </w:r>
          </w:p>
        </w:tc>
        <w:tc>
          <w:tcPr>
            <w:tcW w:w="3969" w:type="dxa"/>
            <w:gridSpan w:val="2"/>
            <w:vAlign w:val="center"/>
          </w:tcPr>
          <w:p w14:paraId="03C603B8" w14:textId="77777777" w:rsidR="00A9604D" w:rsidRDefault="00A9604D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A9604D">
              <w:rPr>
                <w:rFonts w:ascii="Cambria" w:hAnsi="Cambria"/>
              </w:rPr>
              <w:t>Előadás felelőse</w:t>
            </w:r>
          </w:p>
          <w:p w14:paraId="0250D447" w14:textId="77777777" w:rsidR="00134DCA" w:rsidRDefault="00134DCA" w:rsidP="00134DCA">
            <w:pPr>
              <w:tabs>
                <w:tab w:val="left" w:pos="4253"/>
                <w:tab w:val="left" w:pos="7797"/>
              </w:tabs>
              <w:ind w:left="708"/>
              <w:rPr>
                <w:rFonts w:ascii="Times New Roman" w:hAnsi="Times New Roman"/>
                <w:sz w:val="24"/>
                <w:szCs w:val="24"/>
                <w:lang w:val="hu-HU"/>
              </w:rPr>
            </w:pPr>
            <w:bookmarkStart w:id="1" w:name="_Hlk93482602"/>
            <w:r>
              <w:rPr>
                <w:rFonts w:ascii="Times New Roman" w:hAnsi="Times New Roman"/>
                <w:sz w:val="24"/>
                <w:szCs w:val="24"/>
                <w:lang w:val="hu-HU"/>
              </w:rPr>
              <w:t>dr. Vincze Hanna Orsolya</w:t>
            </w:r>
            <w:bookmarkEnd w:id="1"/>
          </w:p>
          <w:p w14:paraId="0F5C8287" w14:textId="71EC586B" w:rsidR="003C197C" w:rsidRPr="003C197C" w:rsidRDefault="00134DCA" w:rsidP="00134DCA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noProof/>
                <w:lang w:val="hu-HU"/>
              </w:rPr>
              <w:drawing>
                <wp:inline distT="0" distB="0" distL="0" distR="0" wp14:anchorId="1308FCA8" wp14:editId="5AD18648">
                  <wp:extent cx="1261533" cy="156499"/>
                  <wp:effectExtent l="19050" t="38100" r="15240" b="34290"/>
                  <wp:docPr id="1032773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773803" name="Picture 10327738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21429594">
                            <a:off x="0" y="0"/>
                            <a:ext cx="1423293" cy="176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661D8D0D" w14:textId="77777777" w:rsidR="00493F45" w:rsidRDefault="00493F45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493F45">
              <w:rPr>
                <w:rFonts w:ascii="Cambria" w:hAnsi="Cambria"/>
              </w:rPr>
              <w:t>Szeminárium felelőse</w:t>
            </w:r>
          </w:p>
          <w:p w14:paraId="34043C9C" w14:textId="744B486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</w:tc>
      </w:tr>
      <w:tr w:rsidR="006B6ABF" w:rsidRPr="003C197C" w14:paraId="2607C991" w14:textId="77777777" w:rsidTr="00F65EFF">
        <w:trPr>
          <w:trHeight w:val="766"/>
        </w:trPr>
        <w:tc>
          <w:tcPr>
            <w:tcW w:w="2553" w:type="dxa"/>
            <w:vAlign w:val="center"/>
          </w:tcPr>
          <w:p w14:paraId="10DE3FC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41C28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2AD0C44F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F65EFF">
        <w:trPr>
          <w:trHeight w:val="605"/>
        </w:trPr>
        <w:tc>
          <w:tcPr>
            <w:tcW w:w="5388" w:type="dxa"/>
            <w:gridSpan w:val="2"/>
          </w:tcPr>
          <w:p w14:paraId="13CC825D" w14:textId="38048181" w:rsidR="003C197C" w:rsidRPr="003C197C" w:rsidRDefault="0054636C" w:rsidP="003C197C">
            <w:pPr>
              <w:rPr>
                <w:rFonts w:ascii="Cambria" w:hAnsi="Cambria"/>
              </w:rPr>
            </w:pPr>
            <w:r w:rsidRPr="0054636C">
              <w:rPr>
                <w:rFonts w:ascii="Cambria" w:hAnsi="Cambria"/>
              </w:rPr>
              <w:t>Az intézeti jóváhagyás dátuma</w:t>
            </w:r>
            <w:r w:rsidR="003C197C" w:rsidRPr="003C197C">
              <w:rPr>
                <w:rFonts w:ascii="Cambria" w:hAnsi="Cambria"/>
              </w:rPr>
              <w:t>:</w:t>
            </w:r>
          </w:p>
          <w:p w14:paraId="27B1F697" w14:textId="504A3456" w:rsidR="003C197C" w:rsidRPr="003C197C" w:rsidRDefault="003C197C" w:rsidP="003C197C">
            <w:pPr>
              <w:rPr>
                <w:rFonts w:ascii="Cambria" w:hAnsi="Cambria"/>
              </w:rPr>
            </w:pPr>
          </w:p>
          <w:p w14:paraId="714DB94C" w14:textId="31AA73E6" w:rsidR="003C197C" w:rsidRPr="003C197C" w:rsidRDefault="000F2528" w:rsidP="003C197C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2025.01.25</w:t>
            </w:r>
          </w:p>
          <w:p w14:paraId="4DCA8C86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EB65F99" w14:textId="77777777" w:rsidR="009C2B78" w:rsidRDefault="009C2B7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9C2B78">
              <w:rPr>
                <w:rFonts w:ascii="Cambria" w:hAnsi="Cambria"/>
              </w:rPr>
              <w:t>Intézetigazgató</w:t>
            </w:r>
          </w:p>
          <w:p w14:paraId="6ACF21FC" w14:textId="19313262" w:rsidR="003C197C" w:rsidRPr="003C197C" w:rsidRDefault="000F252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Prof. dr. Radu Meza</w:t>
            </w:r>
          </w:p>
          <w:p w14:paraId="2757C074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9BA4" w14:textId="77777777" w:rsidR="007C570B" w:rsidRDefault="007C570B" w:rsidP="00D12BC3">
      <w:pPr>
        <w:spacing w:after="0" w:line="240" w:lineRule="auto"/>
      </w:pPr>
      <w:r>
        <w:separator/>
      </w:r>
    </w:p>
  </w:endnote>
  <w:endnote w:type="continuationSeparator" w:id="0">
    <w:p w14:paraId="6C11C627" w14:textId="77777777" w:rsidR="007C570B" w:rsidRDefault="007C570B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0F4D" w14:textId="77777777" w:rsidR="007C570B" w:rsidRDefault="007C570B" w:rsidP="00D12BC3">
      <w:pPr>
        <w:spacing w:after="0" w:line="240" w:lineRule="auto"/>
      </w:pPr>
      <w:r>
        <w:separator/>
      </w:r>
    </w:p>
  </w:footnote>
  <w:footnote w:type="continuationSeparator" w:id="0">
    <w:p w14:paraId="762217BE" w14:textId="77777777" w:rsidR="007C570B" w:rsidRDefault="007C570B" w:rsidP="00D12BC3">
      <w:pPr>
        <w:spacing w:after="0" w:line="240" w:lineRule="auto"/>
      </w:pPr>
      <w:r>
        <w:continuationSeparator/>
      </w:r>
    </w:p>
  </w:footnote>
  <w:footnote w:id="1">
    <w:p w14:paraId="28F7B89D" w14:textId="75EE57EB" w:rsidR="00D12BC3" w:rsidRPr="00847940" w:rsidRDefault="00D12BC3" w:rsidP="00C3571C">
      <w:pPr>
        <w:pStyle w:val="FootnoteText"/>
        <w:spacing w:line="240" w:lineRule="auto"/>
        <w:jc w:val="both"/>
        <w:rPr>
          <w:rFonts w:ascii="Cambria" w:hAnsi="Cambria"/>
        </w:rPr>
      </w:pPr>
      <w:r w:rsidRPr="00847940">
        <w:rPr>
          <w:rStyle w:val="FootnoteReference"/>
          <w:rFonts w:ascii="Cambria" w:hAnsi="Cambria"/>
        </w:rPr>
        <w:footnoteRef/>
      </w:r>
      <w:r w:rsidRPr="00847940">
        <w:rPr>
          <w:rFonts w:ascii="Cambria" w:hAnsi="Cambria"/>
        </w:rPr>
        <w:t xml:space="preserve"> </w:t>
      </w:r>
      <w:r w:rsidR="00986BD2" w:rsidRPr="00986BD2">
        <w:rPr>
          <w:rFonts w:ascii="Cambria" w:hAnsi="Cambria"/>
        </w:rPr>
        <w:t>Választhat kompetenciák vagy tanulási eredmények között, illetve választhatja mindkettőt is. Amennyiben csak az egyik lehetőséget választja, a másik lehetőséget el kell távolítani a táblázatból, és a kiválasztott lehetőség a 6. számot kapja.</w:t>
      </w:r>
    </w:p>
  </w:footnote>
  <w:footnote w:id="2">
    <w:p w14:paraId="3806BD12" w14:textId="2A7BB109" w:rsidR="00C3571C" w:rsidRPr="006067C6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</w:t>
      </w:r>
      <w:r w:rsidR="006067C6" w:rsidRPr="006067C6">
        <w:rPr>
          <w:rFonts w:ascii="Cambria" w:hAnsi="Cambria"/>
          <w:lang w:val="hu-HU"/>
        </w:rPr>
        <w:t xml:space="preserve">Csak azokat a ikonokat tartsa meg, amelyek az </w:t>
      </w:r>
      <w:hyperlink r:id="rId1" w:history="1">
        <w:r w:rsidR="006067C6" w:rsidRPr="006067C6">
          <w:rPr>
            <w:rStyle w:val="Hyperlink"/>
            <w:rFonts w:ascii="Cambria" w:hAnsi="Cambria"/>
            <w:lang w:val="hu-HU"/>
          </w:rPr>
          <w:t>SDG-ikonoknak az egyetemi folyamatban</w:t>
        </w:r>
      </w:hyperlink>
      <w:r w:rsidR="006067C6" w:rsidRPr="006067C6">
        <w:rPr>
          <w:rFonts w:ascii="Cambria" w:hAnsi="Cambria"/>
          <w:lang w:val="hu-HU"/>
        </w:rPr>
        <w:t xml:space="preserve"> történő alkalmazására vonatkozó eljárás szerint illeszkednek az adott tantárgyhoz, és törölje a többit, beleértve a fenntartható fejlődés általános ikonját is – amennyiben nem alkalmazható. Ha egyik ikon sem illik a tantárgyra, törölje az összest, és írja rá, hogy „</w:t>
      </w:r>
      <w:r w:rsidR="006067C6" w:rsidRPr="006067C6">
        <w:rPr>
          <w:rFonts w:ascii="Cambria" w:hAnsi="Cambria"/>
          <w:i/>
          <w:iCs/>
          <w:lang w:val="hu-HU"/>
        </w:rPr>
        <w:t>Nem alkalmazható</w:t>
      </w:r>
      <w:r w:rsidR="006067C6" w:rsidRPr="006067C6">
        <w:rPr>
          <w:rFonts w:ascii="Cambria" w:hAnsi="Cambria"/>
          <w:lang w:val="hu-HU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644B"/>
    <w:multiLevelType w:val="hybridMultilevel"/>
    <w:tmpl w:val="E154EA96"/>
    <w:lvl w:ilvl="0" w:tplc="603EAC72">
      <w:start w:val="20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52CA"/>
    <w:multiLevelType w:val="hybridMultilevel"/>
    <w:tmpl w:val="96B4062E"/>
    <w:lvl w:ilvl="0" w:tplc="9CA85274">
      <w:start w:val="200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21630">
    <w:abstractNumId w:val="1"/>
  </w:num>
  <w:num w:numId="2" w16cid:durableId="2119375832">
    <w:abstractNumId w:val="0"/>
  </w:num>
  <w:num w:numId="3" w16cid:durableId="1966962414">
    <w:abstractNumId w:val="3"/>
  </w:num>
  <w:num w:numId="4" w16cid:durableId="1684941665">
    <w:abstractNumId w:val="5"/>
  </w:num>
  <w:num w:numId="5" w16cid:durableId="1758594781">
    <w:abstractNumId w:val="4"/>
  </w:num>
  <w:num w:numId="6" w16cid:durableId="423502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32212"/>
    <w:rsid w:val="00035F4F"/>
    <w:rsid w:val="00036059"/>
    <w:rsid w:val="000453A3"/>
    <w:rsid w:val="00050AD6"/>
    <w:rsid w:val="00063EAD"/>
    <w:rsid w:val="000866FC"/>
    <w:rsid w:val="000B6EB1"/>
    <w:rsid w:val="000B7D0D"/>
    <w:rsid w:val="000E59F7"/>
    <w:rsid w:val="000F20F3"/>
    <w:rsid w:val="000F2528"/>
    <w:rsid w:val="000F2DF8"/>
    <w:rsid w:val="00116EEC"/>
    <w:rsid w:val="00117B5A"/>
    <w:rsid w:val="00123B64"/>
    <w:rsid w:val="001253AA"/>
    <w:rsid w:val="00130C98"/>
    <w:rsid w:val="001343E9"/>
    <w:rsid w:val="001346BE"/>
    <w:rsid w:val="00134DCA"/>
    <w:rsid w:val="0014386F"/>
    <w:rsid w:val="001914D4"/>
    <w:rsid w:val="0019757E"/>
    <w:rsid w:val="001A4A04"/>
    <w:rsid w:val="001C0ABE"/>
    <w:rsid w:val="001C2668"/>
    <w:rsid w:val="001C6F32"/>
    <w:rsid w:val="001E3A7D"/>
    <w:rsid w:val="001F70FF"/>
    <w:rsid w:val="00201EE0"/>
    <w:rsid w:val="00221B6D"/>
    <w:rsid w:val="002315D2"/>
    <w:rsid w:val="00242E53"/>
    <w:rsid w:val="00247A61"/>
    <w:rsid w:val="00250293"/>
    <w:rsid w:val="00250F88"/>
    <w:rsid w:val="00261BF1"/>
    <w:rsid w:val="00273287"/>
    <w:rsid w:val="002A3A93"/>
    <w:rsid w:val="002A6395"/>
    <w:rsid w:val="002B298E"/>
    <w:rsid w:val="002B38EF"/>
    <w:rsid w:val="002D19B2"/>
    <w:rsid w:val="002D5FCA"/>
    <w:rsid w:val="002E2D93"/>
    <w:rsid w:val="002E4459"/>
    <w:rsid w:val="002F705C"/>
    <w:rsid w:val="00301E97"/>
    <w:rsid w:val="00351944"/>
    <w:rsid w:val="00357598"/>
    <w:rsid w:val="00366881"/>
    <w:rsid w:val="00370DF5"/>
    <w:rsid w:val="003A480A"/>
    <w:rsid w:val="003A4875"/>
    <w:rsid w:val="003A5763"/>
    <w:rsid w:val="003B6EE4"/>
    <w:rsid w:val="003C197C"/>
    <w:rsid w:val="003D7F8A"/>
    <w:rsid w:val="003F481E"/>
    <w:rsid w:val="003F659E"/>
    <w:rsid w:val="00405204"/>
    <w:rsid w:val="00414998"/>
    <w:rsid w:val="0042330E"/>
    <w:rsid w:val="00434BF6"/>
    <w:rsid w:val="00443956"/>
    <w:rsid w:val="00453436"/>
    <w:rsid w:val="004613CA"/>
    <w:rsid w:val="004675C5"/>
    <w:rsid w:val="0047381B"/>
    <w:rsid w:val="00477FDB"/>
    <w:rsid w:val="00493F45"/>
    <w:rsid w:val="004C0D6E"/>
    <w:rsid w:val="004D2236"/>
    <w:rsid w:val="004D3AF6"/>
    <w:rsid w:val="004E0538"/>
    <w:rsid w:val="004E11FF"/>
    <w:rsid w:val="004E2C1F"/>
    <w:rsid w:val="004E578B"/>
    <w:rsid w:val="004F1246"/>
    <w:rsid w:val="004F45E5"/>
    <w:rsid w:val="0051199C"/>
    <w:rsid w:val="005334A2"/>
    <w:rsid w:val="0054636C"/>
    <w:rsid w:val="00551CC4"/>
    <w:rsid w:val="00586682"/>
    <w:rsid w:val="0059285C"/>
    <w:rsid w:val="005A565B"/>
    <w:rsid w:val="005B2BEB"/>
    <w:rsid w:val="005B66A9"/>
    <w:rsid w:val="005D214C"/>
    <w:rsid w:val="005D597C"/>
    <w:rsid w:val="005E100B"/>
    <w:rsid w:val="005E1610"/>
    <w:rsid w:val="006016CF"/>
    <w:rsid w:val="00603499"/>
    <w:rsid w:val="006067C6"/>
    <w:rsid w:val="00610039"/>
    <w:rsid w:val="00632190"/>
    <w:rsid w:val="006822AB"/>
    <w:rsid w:val="00687EE7"/>
    <w:rsid w:val="00694E26"/>
    <w:rsid w:val="00696CC8"/>
    <w:rsid w:val="006A3DD3"/>
    <w:rsid w:val="006B6ABF"/>
    <w:rsid w:val="006C3B8A"/>
    <w:rsid w:val="006F32EA"/>
    <w:rsid w:val="006F6533"/>
    <w:rsid w:val="00706E3A"/>
    <w:rsid w:val="007254C5"/>
    <w:rsid w:val="007526F3"/>
    <w:rsid w:val="007550B0"/>
    <w:rsid w:val="007566DE"/>
    <w:rsid w:val="007843D7"/>
    <w:rsid w:val="00793F1F"/>
    <w:rsid w:val="007C570B"/>
    <w:rsid w:val="007D0416"/>
    <w:rsid w:val="007D301E"/>
    <w:rsid w:val="007D6BE3"/>
    <w:rsid w:val="008119F8"/>
    <w:rsid w:val="0082320A"/>
    <w:rsid w:val="00827CA3"/>
    <w:rsid w:val="0083358D"/>
    <w:rsid w:val="0084063D"/>
    <w:rsid w:val="00844EAD"/>
    <w:rsid w:val="0084568F"/>
    <w:rsid w:val="00847940"/>
    <w:rsid w:val="008663BC"/>
    <w:rsid w:val="00873733"/>
    <w:rsid w:val="00885BDD"/>
    <w:rsid w:val="00886616"/>
    <w:rsid w:val="00893AF8"/>
    <w:rsid w:val="00896E10"/>
    <w:rsid w:val="008A0887"/>
    <w:rsid w:val="008B15F8"/>
    <w:rsid w:val="008C0848"/>
    <w:rsid w:val="008C472C"/>
    <w:rsid w:val="008C6A8A"/>
    <w:rsid w:val="008E6D88"/>
    <w:rsid w:val="008F5E28"/>
    <w:rsid w:val="008F6911"/>
    <w:rsid w:val="00942512"/>
    <w:rsid w:val="0094452F"/>
    <w:rsid w:val="00944A03"/>
    <w:rsid w:val="009508B1"/>
    <w:rsid w:val="009605D1"/>
    <w:rsid w:val="00982E92"/>
    <w:rsid w:val="00986BD2"/>
    <w:rsid w:val="00996BA6"/>
    <w:rsid w:val="00996E5F"/>
    <w:rsid w:val="009C2B78"/>
    <w:rsid w:val="009C4840"/>
    <w:rsid w:val="009D436C"/>
    <w:rsid w:val="009E1EA9"/>
    <w:rsid w:val="009F10DB"/>
    <w:rsid w:val="009F6D96"/>
    <w:rsid w:val="00A23D3E"/>
    <w:rsid w:val="00A24211"/>
    <w:rsid w:val="00A4215F"/>
    <w:rsid w:val="00A526B5"/>
    <w:rsid w:val="00A57B1C"/>
    <w:rsid w:val="00A82450"/>
    <w:rsid w:val="00A869F5"/>
    <w:rsid w:val="00A9604D"/>
    <w:rsid w:val="00AA09AA"/>
    <w:rsid w:val="00AB0693"/>
    <w:rsid w:val="00AB0DE7"/>
    <w:rsid w:val="00AF271A"/>
    <w:rsid w:val="00B417DB"/>
    <w:rsid w:val="00B50086"/>
    <w:rsid w:val="00B833AD"/>
    <w:rsid w:val="00B96828"/>
    <w:rsid w:val="00BC7CDE"/>
    <w:rsid w:val="00BD3CB2"/>
    <w:rsid w:val="00BF17DD"/>
    <w:rsid w:val="00BF2C1C"/>
    <w:rsid w:val="00BF4DEE"/>
    <w:rsid w:val="00BF4F61"/>
    <w:rsid w:val="00C02345"/>
    <w:rsid w:val="00C163AF"/>
    <w:rsid w:val="00C3571C"/>
    <w:rsid w:val="00C40174"/>
    <w:rsid w:val="00C64DC1"/>
    <w:rsid w:val="00C76710"/>
    <w:rsid w:val="00C81073"/>
    <w:rsid w:val="00C93E7A"/>
    <w:rsid w:val="00C9513E"/>
    <w:rsid w:val="00CA16E6"/>
    <w:rsid w:val="00CA412A"/>
    <w:rsid w:val="00CB66F3"/>
    <w:rsid w:val="00CC781A"/>
    <w:rsid w:val="00CC7BF5"/>
    <w:rsid w:val="00CE0922"/>
    <w:rsid w:val="00D00111"/>
    <w:rsid w:val="00D06D01"/>
    <w:rsid w:val="00D12BC3"/>
    <w:rsid w:val="00D2397E"/>
    <w:rsid w:val="00D25FA4"/>
    <w:rsid w:val="00D33E76"/>
    <w:rsid w:val="00D33EAB"/>
    <w:rsid w:val="00D44828"/>
    <w:rsid w:val="00D51618"/>
    <w:rsid w:val="00D60DDF"/>
    <w:rsid w:val="00D80899"/>
    <w:rsid w:val="00DA6665"/>
    <w:rsid w:val="00DC236E"/>
    <w:rsid w:val="00DC48FF"/>
    <w:rsid w:val="00DC7176"/>
    <w:rsid w:val="00DE6B49"/>
    <w:rsid w:val="00DE7243"/>
    <w:rsid w:val="00E027F6"/>
    <w:rsid w:val="00E03DC8"/>
    <w:rsid w:val="00E0470A"/>
    <w:rsid w:val="00E04E32"/>
    <w:rsid w:val="00E27C90"/>
    <w:rsid w:val="00E56D7A"/>
    <w:rsid w:val="00E65FEC"/>
    <w:rsid w:val="00EB0A67"/>
    <w:rsid w:val="00EB1C45"/>
    <w:rsid w:val="00EB79BF"/>
    <w:rsid w:val="00EC43EB"/>
    <w:rsid w:val="00EF1903"/>
    <w:rsid w:val="00EF2302"/>
    <w:rsid w:val="00EF2873"/>
    <w:rsid w:val="00F01F2B"/>
    <w:rsid w:val="00F112CC"/>
    <w:rsid w:val="00F427B9"/>
    <w:rsid w:val="00F52FD8"/>
    <w:rsid w:val="00F65EFF"/>
    <w:rsid w:val="00F66643"/>
    <w:rsid w:val="00F76D8F"/>
    <w:rsid w:val="00F81966"/>
    <w:rsid w:val="00F85E5C"/>
    <w:rsid w:val="00F8792C"/>
    <w:rsid w:val="00F974CE"/>
    <w:rsid w:val="00FA27C7"/>
    <w:rsid w:val="00FA3D17"/>
    <w:rsid w:val="00FB5485"/>
    <w:rsid w:val="00FC204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134D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CA684C393124D885F0BC565D9EF75" ma:contentTypeVersion="6" ma:contentTypeDescription="Create a new document." ma:contentTypeScope="" ma:versionID="ed517d7bf676857c39ea04e239754532">
  <xsd:schema xmlns:xsd="http://www.w3.org/2001/XMLSchema" xmlns:xs="http://www.w3.org/2001/XMLSchema" xmlns:p="http://schemas.microsoft.com/office/2006/metadata/properties" xmlns:ns2="6c62634f-06d6-4c61-a65c-696c44a086ec" xmlns:ns3="ed45be2d-2f73-463e-971e-1c3b851ffbfb" targetNamespace="http://schemas.microsoft.com/office/2006/metadata/properties" ma:root="true" ma:fieldsID="f11a3e480c46473e9f965f7c09369e83" ns2:_="" ns3:_="">
    <xsd:import namespace="6c62634f-06d6-4c61-a65c-696c44a086ec"/>
    <xsd:import namespace="ed45be2d-2f73-463e-971e-1c3b851ff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634f-06d6-4c61-a65c-696c44a0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be2d-2f73-463e-971e-1c3b851ff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E8E14-6A2F-45C2-885A-CB0D1326E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32F23-5A26-4008-BFA7-87C7AA5A0E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18B4A-08E2-4F04-AF1D-EC2E3E0A2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634f-06d6-4c61-a65c-696c44a086ec"/>
    <ds:schemaRef ds:uri="ed45be2d-2f73-463e-971e-1c3b851f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65335-DF9B-461A-87A0-4010655FB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1213</Words>
  <Characters>8930</Characters>
  <Application>Microsoft Office Word</Application>
  <DocSecurity>0</DocSecurity>
  <Lines>425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Gabor-Zsolt Gyorffy</cp:lastModifiedBy>
  <cp:revision>220</cp:revision>
  <dcterms:created xsi:type="dcterms:W3CDTF">2024-11-08T09:11:00Z</dcterms:created>
  <dcterms:modified xsi:type="dcterms:W3CDTF">2025-04-29T20:53:00Z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0x010100710CA684C393124D885F0BC565D9EF75</vt:lpwstr>
  </property>
  <property fmtid="{D5CDD505-2E9C-101B-9397-08002B2CF9AE}" pid="3" name="GrammarlyDocumentId">
    <vt:lpwstr>fa1515da6b966ceb924a606ba925f38053d0bd619cfc7894f94a9392d29ea204</vt:lpwstr>
  </property>
</Properties>
</file>